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E02897" w:rsidRDefault="006544C4" w:rsidP="00907825">
      <w:pPr>
        <w:jc w:val="center"/>
        <w:rPr>
          <w:lang w:val="fr-FR"/>
        </w:rPr>
      </w:pPr>
    </w:p>
    <w:p w:rsidR="006544C4" w:rsidRPr="00E02897" w:rsidRDefault="006544C4" w:rsidP="00907825">
      <w:pPr>
        <w:jc w:val="center"/>
        <w:rPr>
          <w:lang w:val="fr-FR"/>
        </w:rPr>
      </w:pPr>
    </w:p>
    <w:p w:rsidR="006544C4" w:rsidRPr="00E02897" w:rsidRDefault="00164CEE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6544C4" w:rsidRPr="00E02897" w:rsidRDefault="006544C4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6544C4" w:rsidRPr="00164CEE" w:rsidRDefault="00164CEE" w:rsidP="00907825">
      <w:pPr>
        <w:pStyle w:val="ECHRTitleCentre2"/>
        <w:rPr>
          <w:lang w:val="fr-FR"/>
        </w:rPr>
      </w:pPr>
      <w:r w:rsidRPr="00164CEE">
        <w:rPr>
          <w:lang w:val="fr-FR"/>
        </w:rPr>
        <w:t>Requête n</w:t>
      </w:r>
      <w:r w:rsidRPr="00164CEE">
        <w:rPr>
          <w:vertAlign w:val="superscript"/>
          <w:lang w:val="fr-FR"/>
        </w:rPr>
        <w:t>o</w:t>
      </w:r>
      <w:r w:rsidR="006544C4" w:rsidRPr="00164CEE">
        <w:rPr>
          <w:lang w:val="fr-FR"/>
        </w:rPr>
        <w:t xml:space="preserve"> </w:t>
      </w:r>
      <w:r w:rsidRPr="00164CEE">
        <w:rPr>
          <w:lang w:val="fr-FR"/>
        </w:rPr>
        <w:t>18931/09</w:t>
      </w:r>
      <w:r w:rsidR="006544C4" w:rsidRPr="00164CEE">
        <w:rPr>
          <w:lang w:val="fr-FR"/>
        </w:rPr>
        <w:br/>
      </w:r>
      <w:r w:rsidRPr="00164CEE">
        <w:rPr>
          <w:lang w:val="fr-FR"/>
        </w:rPr>
        <w:t>Paolo ROMANAZZI et autres</w:t>
      </w:r>
      <w:r w:rsidR="00423A49">
        <w:rPr>
          <w:lang w:val="fr-FR"/>
        </w:rPr>
        <w:t xml:space="preserve"> </w:t>
      </w:r>
      <w:r w:rsidRPr="00164CEE">
        <w:rPr>
          <w:lang w:val="fr-FR"/>
        </w:rPr>
        <w:br/>
      </w:r>
      <w:r w:rsidR="006544C4" w:rsidRPr="00164CEE">
        <w:rPr>
          <w:lang w:val="fr-FR"/>
        </w:rPr>
        <w:t xml:space="preserve">contre </w:t>
      </w:r>
      <w:r w:rsidRPr="00164CEE">
        <w:rPr>
          <w:lang w:val="fr-FR"/>
        </w:rPr>
        <w:t>l</w:t>
      </w:r>
      <w:r w:rsidR="009C36DE">
        <w:rPr>
          <w:lang w:val="fr-FR"/>
        </w:rPr>
        <w:t>’</w:t>
      </w:r>
      <w:r w:rsidRPr="00164CEE">
        <w:rPr>
          <w:lang w:val="fr-FR"/>
        </w:rPr>
        <w:t>Italie</w:t>
      </w:r>
    </w:p>
    <w:p w:rsidR="00164CEE" w:rsidRPr="0072720E" w:rsidRDefault="00164CEE" w:rsidP="00C21462">
      <w:pPr>
        <w:pStyle w:val="ECHRPara"/>
        <w:rPr>
          <w:lang w:val="fr-FR"/>
        </w:rPr>
      </w:pPr>
      <w:r w:rsidRPr="0072720E">
        <w:rPr>
          <w:lang w:val="fr-FR"/>
        </w:rPr>
        <w:t>La Cour européenne des droits de l</w:t>
      </w:r>
      <w:r w:rsidR="009C36DE">
        <w:rPr>
          <w:lang w:val="fr-FR"/>
        </w:rPr>
        <w:t>’</w:t>
      </w:r>
      <w:r w:rsidRPr="0072720E">
        <w:rPr>
          <w:lang w:val="fr-FR"/>
        </w:rPr>
        <w:t>homme (</w:t>
      </w:r>
      <w:r>
        <w:rPr>
          <w:lang w:val="fr-FR"/>
        </w:rPr>
        <w:t>deuxième section</w:t>
      </w:r>
      <w:r w:rsidRPr="0072720E">
        <w:rPr>
          <w:lang w:val="fr-FR"/>
        </w:rPr>
        <w:t xml:space="preserve">), siégeant le </w:t>
      </w:r>
      <w:r w:rsidR="003B31AE">
        <w:rPr>
          <w:lang w:val="fr-FR"/>
        </w:rPr>
        <w:t>4 novembre 2014</w:t>
      </w:r>
      <w:r w:rsidRPr="0072720E">
        <w:rPr>
          <w:lang w:val="fr-FR"/>
        </w:rPr>
        <w:t xml:space="preserve"> en une </w:t>
      </w:r>
      <w:r>
        <w:rPr>
          <w:lang w:val="fr-FR"/>
        </w:rPr>
        <w:t>Chambre</w:t>
      </w:r>
      <w:r w:rsidRPr="0072720E">
        <w:rPr>
          <w:lang w:val="fr-FR"/>
        </w:rPr>
        <w:t xml:space="preserve"> composée de :</w:t>
      </w:r>
    </w:p>
    <w:p w:rsidR="00164CEE" w:rsidRPr="0072720E" w:rsidRDefault="003B31AE" w:rsidP="00164CEE">
      <w:pPr>
        <w:pStyle w:val="ECHRDecisionBody"/>
        <w:rPr>
          <w:lang w:val="fr-FR"/>
        </w:rPr>
      </w:pPr>
      <w:r>
        <w:rPr>
          <w:lang w:val="fr-FR"/>
        </w:rPr>
        <w:tab/>
      </w:r>
      <w:r w:rsidR="00164CEE" w:rsidRPr="00164CEE">
        <w:rPr>
          <w:lang w:val="fr-FR"/>
        </w:rPr>
        <w:t>Işıl Karakaş,</w:t>
      </w:r>
      <w:r w:rsidR="00164CEE" w:rsidRPr="00164CEE">
        <w:rPr>
          <w:i/>
          <w:lang w:val="fr-FR"/>
        </w:rPr>
        <w:t xml:space="preserve"> présidente,</w:t>
      </w:r>
      <w:r w:rsidR="00164CEE" w:rsidRPr="00164CEE">
        <w:rPr>
          <w:i/>
          <w:lang w:val="fr-FR"/>
        </w:rPr>
        <w:br/>
      </w:r>
      <w:r w:rsidR="00164CEE" w:rsidRPr="00164CEE">
        <w:rPr>
          <w:lang w:val="fr-FR"/>
        </w:rPr>
        <w:tab/>
        <w:t>Guido Raimondi,</w:t>
      </w:r>
      <w:r w:rsidR="00164CEE" w:rsidRPr="00164CEE">
        <w:rPr>
          <w:i/>
          <w:lang w:val="fr-FR"/>
        </w:rPr>
        <w:br/>
      </w:r>
      <w:r w:rsidR="00164CEE" w:rsidRPr="00164CEE">
        <w:rPr>
          <w:lang w:val="fr-FR"/>
        </w:rPr>
        <w:tab/>
        <w:t>Nebojša Vučinić,</w:t>
      </w:r>
      <w:r w:rsidR="00164CEE" w:rsidRPr="00164CEE">
        <w:rPr>
          <w:i/>
          <w:lang w:val="fr-FR"/>
        </w:rPr>
        <w:br/>
      </w:r>
      <w:r w:rsidR="00164CEE" w:rsidRPr="00164CEE">
        <w:rPr>
          <w:lang w:val="fr-FR"/>
        </w:rPr>
        <w:tab/>
        <w:t>Helen Keller,</w:t>
      </w:r>
      <w:r w:rsidR="00164CEE" w:rsidRPr="00164CEE">
        <w:rPr>
          <w:i/>
          <w:lang w:val="fr-FR"/>
        </w:rPr>
        <w:br/>
      </w:r>
      <w:r w:rsidR="00164CEE" w:rsidRPr="00164CEE">
        <w:rPr>
          <w:lang w:val="fr-FR"/>
        </w:rPr>
        <w:tab/>
        <w:t>Paul Lemmens,</w:t>
      </w:r>
      <w:r w:rsidR="00164CEE" w:rsidRPr="00164CEE">
        <w:rPr>
          <w:i/>
          <w:lang w:val="fr-FR"/>
        </w:rPr>
        <w:br/>
      </w:r>
      <w:r w:rsidR="00164CEE" w:rsidRPr="00164CEE">
        <w:rPr>
          <w:lang w:val="fr-FR"/>
        </w:rPr>
        <w:tab/>
        <w:t>Egidijus Kūris,</w:t>
      </w:r>
      <w:r w:rsidR="00164CEE" w:rsidRPr="00164CEE">
        <w:rPr>
          <w:i/>
          <w:lang w:val="fr-FR"/>
        </w:rPr>
        <w:br/>
      </w:r>
      <w:r w:rsidR="00164CEE" w:rsidRPr="00164CEE">
        <w:rPr>
          <w:lang w:val="fr-FR"/>
        </w:rPr>
        <w:tab/>
        <w:t>Robert Spano,</w:t>
      </w:r>
      <w:r w:rsidR="00164CEE" w:rsidRPr="00164CEE">
        <w:rPr>
          <w:i/>
          <w:lang w:val="fr-FR"/>
        </w:rPr>
        <w:t xml:space="preserve"> juges,</w:t>
      </w:r>
      <w:r w:rsidR="00164CEE" w:rsidRPr="00164CEE">
        <w:rPr>
          <w:i/>
          <w:lang w:val="fr-FR"/>
        </w:rPr>
        <w:br/>
      </w:r>
      <w:r w:rsidR="00164CEE" w:rsidRPr="0072720E">
        <w:rPr>
          <w:lang w:val="fr-FR"/>
        </w:rPr>
        <w:t xml:space="preserve">et de </w:t>
      </w:r>
      <w:r w:rsidR="00164CEE">
        <w:rPr>
          <w:lang w:val="fr-FR"/>
        </w:rPr>
        <w:t>Abel Campos</w:t>
      </w:r>
      <w:r w:rsidR="00164CEE" w:rsidRPr="0072720E">
        <w:rPr>
          <w:lang w:val="fr-FR"/>
        </w:rPr>
        <w:t xml:space="preserve">, </w:t>
      </w:r>
      <w:r w:rsidR="00164CEE" w:rsidRPr="0072720E">
        <w:rPr>
          <w:i/>
          <w:lang w:val="fr-FR"/>
        </w:rPr>
        <w:t>greffier</w:t>
      </w:r>
      <w:r w:rsidR="00164CEE" w:rsidRPr="0072720E">
        <w:rPr>
          <w:i/>
          <w:iCs/>
          <w:lang w:val="fr-FR"/>
        </w:rPr>
        <w:t xml:space="preserve"> </w:t>
      </w:r>
      <w:r w:rsidR="00164CEE">
        <w:rPr>
          <w:i/>
          <w:iCs/>
          <w:lang w:val="fr-FR"/>
        </w:rPr>
        <w:t xml:space="preserve">adjoint </w:t>
      </w:r>
      <w:r w:rsidR="00164CEE" w:rsidRPr="0072720E">
        <w:rPr>
          <w:i/>
          <w:iCs/>
          <w:lang w:val="fr-FR"/>
        </w:rPr>
        <w:t>d</w:t>
      </w:r>
      <w:r w:rsidR="00164CEE" w:rsidRPr="0072720E">
        <w:rPr>
          <w:i/>
          <w:lang w:val="fr-FR"/>
        </w:rPr>
        <w:t>e section,</w:t>
      </w:r>
    </w:p>
    <w:p w:rsidR="00164CEE" w:rsidRPr="0072720E" w:rsidRDefault="00164CEE" w:rsidP="00C21462">
      <w:pPr>
        <w:pStyle w:val="ECHRPara"/>
        <w:rPr>
          <w:lang w:val="fr-FR"/>
        </w:rPr>
      </w:pPr>
      <w:r w:rsidRPr="0072720E">
        <w:rPr>
          <w:lang w:val="fr-FR"/>
        </w:rPr>
        <w:t xml:space="preserve">Vu la requête susmentionnée introduite le </w:t>
      </w:r>
      <w:r>
        <w:rPr>
          <w:lang w:val="fr-FR"/>
        </w:rPr>
        <w:t>8 avril 2009</w:t>
      </w:r>
      <w:r w:rsidRPr="0072720E">
        <w:rPr>
          <w:lang w:val="fr-FR"/>
        </w:rPr>
        <w:t>,</w:t>
      </w:r>
    </w:p>
    <w:p w:rsidR="00164CEE" w:rsidRDefault="00164CEE" w:rsidP="00C21462">
      <w:pPr>
        <w:pStyle w:val="ECHRPara"/>
        <w:rPr>
          <w:lang w:val="fr-FR"/>
        </w:rPr>
      </w:pPr>
      <w:r w:rsidRPr="0072720E">
        <w:rPr>
          <w:lang w:val="fr-FR"/>
        </w:rPr>
        <w:t>Après en avoir délibéré, rend la décision suivante :</w:t>
      </w:r>
    </w:p>
    <w:p w:rsidR="00164CEE" w:rsidRPr="0072720E" w:rsidRDefault="00164CEE" w:rsidP="00C21462">
      <w:pPr>
        <w:pStyle w:val="ECHRTitle1"/>
        <w:rPr>
          <w:lang w:val="fr-FR"/>
        </w:rPr>
      </w:pPr>
      <w:r w:rsidRPr="0072720E">
        <w:rPr>
          <w:lang w:val="fr-FR"/>
        </w:rPr>
        <w:t>EN FAIT</w:t>
      </w:r>
    </w:p>
    <w:p w:rsidR="00164CEE" w:rsidRPr="0072720E" w:rsidRDefault="00164CEE" w:rsidP="00C21462">
      <w:pPr>
        <w:pStyle w:val="ECHRPara"/>
        <w:rPr>
          <w:lang w:val="fr-FR"/>
        </w:rPr>
      </w:pPr>
      <w:r>
        <w:rPr>
          <w:lang w:val="fr-FR"/>
        </w:rPr>
        <w:t>1.  </w:t>
      </w:r>
      <w:r w:rsidRPr="0072720E">
        <w:rPr>
          <w:lang w:val="fr-FR"/>
        </w:rPr>
        <w:t>La liste des parties requérantes figure en annexe.</w:t>
      </w:r>
      <w:r>
        <w:rPr>
          <w:lang w:val="fr-FR"/>
        </w:rPr>
        <w:t xml:space="preserve"> Les requérants sont représentés devant la Cour par M</w:t>
      </w:r>
      <w:r w:rsidRPr="001C0561">
        <w:rPr>
          <w:vertAlign w:val="superscript"/>
          <w:lang w:val="fr-FR"/>
        </w:rPr>
        <w:t>es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N. Paoletti, G. Paoletti et A. Mari, avocats à Rome.</w:t>
      </w:r>
    </w:p>
    <w:p w:rsidR="00164CEE" w:rsidRPr="0072720E" w:rsidRDefault="00164CEE" w:rsidP="00C21462">
      <w:pPr>
        <w:pStyle w:val="ECHRHeading2"/>
        <w:rPr>
          <w:lang w:val="fr-FR"/>
        </w:rPr>
      </w:pPr>
      <w:r w:rsidRPr="0072720E">
        <w:rPr>
          <w:lang w:val="fr-FR"/>
        </w:rPr>
        <w:t>A.  Les circonstances de l</w:t>
      </w:r>
      <w:r w:rsidR="009C36DE">
        <w:rPr>
          <w:lang w:val="fr-FR"/>
        </w:rPr>
        <w:t>’</w:t>
      </w:r>
      <w:r w:rsidRPr="0072720E">
        <w:rPr>
          <w:lang w:val="fr-FR"/>
        </w:rPr>
        <w:t>espèce</w:t>
      </w:r>
    </w:p>
    <w:p w:rsidR="00164CEE" w:rsidRPr="0072720E" w:rsidRDefault="00164CEE" w:rsidP="00C21462">
      <w:pPr>
        <w:pStyle w:val="ECHRPara"/>
        <w:rPr>
          <w:lang w:val="fr-FR"/>
        </w:rPr>
      </w:pPr>
      <w:r>
        <w:rPr>
          <w:lang w:val="fr-FR"/>
        </w:rPr>
        <w:t>2.  </w:t>
      </w:r>
      <w:r w:rsidRPr="0072720E">
        <w:rPr>
          <w:lang w:val="fr-FR"/>
        </w:rPr>
        <w:t>Les faits de la cause, tels qu</w:t>
      </w:r>
      <w:r w:rsidR="009C36DE">
        <w:rPr>
          <w:lang w:val="fr-FR"/>
        </w:rPr>
        <w:t>’</w:t>
      </w:r>
      <w:r w:rsidRPr="0072720E">
        <w:rPr>
          <w:lang w:val="fr-FR"/>
        </w:rPr>
        <w:t>ils ont été exposés par les requérants, peuvent se résumer comme suit.</w:t>
      </w:r>
    </w:p>
    <w:p w:rsidR="00164CEE" w:rsidRPr="00C533A8" w:rsidRDefault="00164CEE" w:rsidP="00C21462">
      <w:pPr>
        <w:pStyle w:val="ECHRHeading3"/>
        <w:rPr>
          <w:lang w:val="fr-FR"/>
        </w:rPr>
      </w:pPr>
      <w:r>
        <w:rPr>
          <w:lang w:val="fr-FR"/>
        </w:rPr>
        <w:t>1.  La stipulation du contrat de vente et la décision du ministre de ne pas l</w:t>
      </w:r>
      <w:r w:rsidR="009C36DE">
        <w:rPr>
          <w:lang w:val="fr-FR"/>
        </w:rPr>
        <w:t>’</w:t>
      </w:r>
      <w:r>
        <w:rPr>
          <w:lang w:val="fr-FR"/>
        </w:rPr>
        <w:t>approuver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3.  Les trois premiers requérants étaient les seuls associés (</w:t>
      </w:r>
      <w:r>
        <w:rPr>
          <w:i/>
          <w:lang w:val="fr-FR"/>
        </w:rPr>
        <w:t>unici soci</w:t>
      </w:r>
      <w:r>
        <w:rPr>
          <w:lang w:val="fr-FR"/>
        </w:rPr>
        <w:t xml:space="preserve">) de la société anonyme </w:t>
      </w:r>
      <w:r w:rsidRPr="00601901">
        <w:rPr>
          <w:i/>
          <w:lang w:val="fr-FR"/>
        </w:rPr>
        <w:t>Officine Romanazzi</w:t>
      </w:r>
      <w:r>
        <w:rPr>
          <w:lang w:val="fr-FR"/>
        </w:rPr>
        <w:t xml:space="preserve"> (ci-après, la « société O.R. »). Les deux premiers requérants sont également les seuls associés de la quatrième requérante, la société à responsabilité limitée Lempira, qui, comme indiqué au paragraphe 22 ci-après, est ensuite devenue le successeur légal de la société O.R.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4.  La société O.R. était la propriétaire d</w:t>
      </w:r>
      <w:r w:rsidR="009C36DE">
        <w:rPr>
          <w:lang w:val="fr-FR"/>
        </w:rPr>
        <w:t>’</w:t>
      </w:r>
      <w:r>
        <w:rPr>
          <w:lang w:val="fr-FR"/>
        </w:rPr>
        <w:t>un immeuble et d</w:t>
      </w:r>
      <w:r w:rsidR="009C36DE">
        <w:rPr>
          <w:lang w:val="fr-FR"/>
        </w:rPr>
        <w:t>’</w:t>
      </w:r>
      <w:r>
        <w:rPr>
          <w:lang w:val="fr-FR"/>
        </w:rPr>
        <w:t>un vaste terrain, sis à Rome, dans une aire à destination industrielle. En juin 1989, la société O.R. décida d</w:t>
      </w:r>
      <w:r w:rsidR="009C36DE">
        <w:rPr>
          <w:lang w:val="fr-FR"/>
        </w:rPr>
        <w:t>’</w:t>
      </w:r>
      <w:r>
        <w:rPr>
          <w:lang w:val="fr-FR"/>
        </w:rPr>
        <w:t>exécuter d</w:t>
      </w:r>
      <w:r w:rsidR="009C36DE">
        <w:rPr>
          <w:lang w:val="fr-FR"/>
        </w:rPr>
        <w:t>’</w:t>
      </w:r>
      <w:r>
        <w:rPr>
          <w:lang w:val="fr-FR"/>
        </w:rPr>
        <w:t>importants travaux de restructuration de l</w:t>
      </w:r>
      <w:r w:rsidR="009C36DE">
        <w:rPr>
          <w:lang w:val="fr-FR"/>
        </w:rPr>
        <w:t>’</w:t>
      </w:r>
      <w:r>
        <w:rPr>
          <w:lang w:val="fr-FR"/>
        </w:rPr>
        <w:t>immeuble en question et s</w:t>
      </w:r>
      <w:r w:rsidR="009C36DE">
        <w:rPr>
          <w:lang w:val="fr-FR"/>
        </w:rPr>
        <w:t>’</w:t>
      </w:r>
      <w:r>
        <w:rPr>
          <w:lang w:val="fr-FR"/>
        </w:rPr>
        <w:t>engagea auprès d</w:t>
      </w:r>
      <w:r w:rsidR="009C36DE">
        <w:rPr>
          <w:lang w:val="fr-FR"/>
        </w:rPr>
        <w:t>’</w:t>
      </w:r>
      <w:r>
        <w:rPr>
          <w:lang w:val="fr-FR"/>
        </w:rPr>
        <w:t>une entreprise de construction.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5.  Entre-temps, l</w:t>
      </w:r>
      <w:r w:rsidR="009C36DE">
        <w:rPr>
          <w:lang w:val="fr-FR"/>
        </w:rPr>
        <w:t>’</w:t>
      </w:r>
      <w:r>
        <w:rPr>
          <w:lang w:val="fr-FR"/>
        </w:rPr>
        <w:t>administration des postes et télécommunications de Rome (ci-après, l</w:t>
      </w:r>
      <w:r w:rsidR="009C36DE">
        <w:rPr>
          <w:lang w:val="fr-FR"/>
        </w:rPr>
        <w:t>’</w:t>
      </w:r>
      <w:r>
        <w:rPr>
          <w:lang w:val="fr-FR"/>
        </w:rPr>
        <w:t>« administration des postes ») était à la recherche d</w:t>
      </w:r>
      <w:r w:rsidR="009C36DE">
        <w:rPr>
          <w:lang w:val="fr-FR"/>
        </w:rPr>
        <w:t>’</w:t>
      </w:r>
      <w:r>
        <w:rPr>
          <w:lang w:val="fr-FR"/>
        </w:rPr>
        <w:t>un immeuble et d</w:t>
      </w:r>
      <w:r w:rsidR="009C36DE">
        <w:rPr>
          <w:lang w:val="fr-FR"/>
        </w:rPr>
        <w:t>’</w:t>
      </w:r>
      <w:r>
        <w:rPr>
          <w:lang w:val="fr-FR"/>
        </w:rPr>
        <w:t>un terrain dans une zone facile d</w:t>
      </w:r>
      <w:r w:rsidR="009C36DE">
        <w:rPr>
          <w:lang w:val="fr-FR"/>
        </w:rPr>
        <w:t>’</w:t>
      </w:r>
      <w:r>
        <w:rPr>
          <w:lang w:val="fr-FR"/>
        </w:rPr>
        <w:t>accès afin d</w:t>
      </w:r>
      <w:r w:rsidR="009C36DE">
        <w:rPr>
          <w:lang w:val="fr-FR"/>
        </w:rPr>
        <w:t>’</w:t>
      </w:r>
      <w:r>
        <w:rPr>
          <w:lang w:val="fr-FR"/>
        </w:rPr>
        <w:t>y transférer ses bureaux. En juin 1990, la société O.R. proposa de vendre le terrain et l</w:t>
      </w:r>
      <w:r w:rsidR="009C36DE">
        <w:rPr>
          <w:lang w:val="fr-FR"/>
        </w:rPr>
        <w:t>’</w:t>
      </w:r>
      <w:r>
        <w:rPr>
          <w:lang w:val="fr-FR"/>
        </w:rPr>
        <w:t>immeuble décrits ci-dessus à l</w:t>
      </w:r>
      <w:r w:rsidR="009C36DE">
        <w:rPr>
          <w:lang w:val="fr-FR"/>
        </w:rPr>
        <w:t>’</w:t>
      </w:r>
      <w:r>
        <w:rPr>
          <w:lang w:val="fr-FR"/>
        </w:rPr>
        <w:t>administration des postes, qui retint cette offre. S</w:t>
      </w:r>
      <w:r w:rsidR="009C36DE">
        <w:rPr>
          <w:lang w:val="fr-FR"/>
        </w:rPr>
        <w:t>’</w:t>
      </w:r>
      <w:r>
        <w:rPr>
          <w:lang w:val="fr-FR"/>
        </w:rPr>
        <w:t>ensuivirent de longues négociations, aux cours desquelles les bureaux administratifs compétents formulèrent des avis favorables à l</w:t>
      </w:r>
      <w:r w:rsidR="009C36DE">
        <w:rPr>
          <w:lang w:val="fr-FR"/>
        </w:rPr>
        <w:t>’</w:t>
      </w:r>
      <w:r>
        <w:rPr>
          <w:lang w:val="fr-FR"/>
        </w:rPr>
        <w:t>achat du bien de la société O.R. ; il fut en outre précisé par l</w:t>
      </w:r>
      <w:r w:rsidR="009C36DE">
        <w:rPr>
          <w:lang w:val="fr-FR"/>
        </w:rPr>
        <w:t>’</w:t>
      </w:r>
      <w:r>
        <w:rPr>
          <w:lang w:val="fr-FR"/>
        </w:rPr>
        <w:t>administration que le vendeur devait s</w:t>
      </w:r>
      <w:r w:rsidR="009C36DE">
        <w:rPr>
          <w:lang w:val="fr-FR"/>
        </w:rPr>
        <w:t>’</w:t>
      </w:r>
      <w:r>
        <w:rPr>
          <w:lang w:val="fr-FR"/>
        </w:rPr>
        <w:t>engager à exécuter de plus importants travaux de restructuration et à garantir, au moment de la consigne de l</w:t>
      </w:r>
      <w:r w:rsidR="009C36DE">
        <w:rPr>
          <w:lang w:val="fr-FR"/>
        </w:rPr>
        <w:t>’</w:t>
      </w:r>
      <w:r>
        <w:rPr>
          <w:lang w:val="fr-FR"/>
        </w:rPr>
        <w:t>immeuble, la levée des hypothèques et la mutation de la destination de l</w:t>
      </w:r>
      <w:r w:rsidR="009C36DE">
        <w:rPr>
          <w:lang w:val="fr-FR"/>
        </w:rPr>
        <w:t>’</w:t>
      </w:r>
      <w:r>
        <w:rPr>
          <w:lang w:val="fr-FR"/>
        </w:rPr>
        <w:t>aire concernée de « industrielle » à zone pour « services généraux publics ». Les requérants soulignent qu</w:t>
      </w:r>
      <w:r w:rsidR="009C36DE">
        <w:rPr>
          <w:lang w:val="fr-FR"/>
        </w:rPr>
        <w:t>’</w:t>
      </w:r>
      <w:r>
        <w:rPr>
          <w:lang w:val="fr-FR"/>
        </w:rPr>
        <w:t>afin de satisfaire aux demandes de l</w:t>
      </w:r>
      <w:r w:rsidR="009C36DE">
        <w:rPr>
          <w:lang w:val="fr-FR"/>
        </w:rPr>
        <w:t>’</w:t>
      </w:r>
      <w:r>
        <w:rPr>
          <w:lang w:val="fr-FR"/>
        </w:rPr>
        <w:t>administration, la société O.R. fut contrainte de s</w:t>
      </w:r>
      <w:r w:rsidR="009C36DE">
        <w:rPr>
          <w:lang w:val="fr-FR"/>
        </w:rPr>
        <w:t>’</w:t>
      </w:r>
      <w:r>
        <w:rPr>
          <w:lang w:val="fr-FR"/>
        </w:rPr>
        <w:t>endetter lourdement auprès des banques.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6.  Le 27 mars 1992, la société O.R. et l</w:t>
      </w:r>
      <w:r w:rsidR="009C36DE">
        <w:rPr>
          <w:lang w:val="fr-FR"/>
        </w:rPr>
        <w:t>’</w:t>
      </w:r>
      <w:r>
        <w:rPr>
          <w:lang w:val="fr-FR"/>
        </w:rPr>
        <w:t>administration des postes signèrent un acte notarié de vente moyennant un prix de 131 500 000 000 lires (ITL – environ 67 914 082 euros (EUR)). La consigne de l</w:t>
      </w:r>
      <w:r w:rsidR="009C36DE">
        <w:rPr>
          <w:lang w:val="fr-FR"/>
        </w:rPr>
        <w:t>’</w:t>
      </w:r>
      <w:r>
        <w:rPr>
          <w:lang w:val="fr-FR"/>
        </w:rPr>
        <w:t>immeuble restructuré fut fixée au 31 mai 1993. La société O.R. s</w:t>
      </w:r>
      <w:r w:rsidR="009C36DE">
        <w:rPr>
          <w:lang w:val="fr-FR"/>
        </w:rPr>
        <w:t>’</w:t>
      </w:r>
      <w:r>
        <w:rPr>
          <w:lang w:val="fr-FR"/>
        </w:rPr>
        <w:t>engagea à obtenir, au plus tard pour cette date, le changement de la destination de l</w:t>
      </w:r>
      <w:r w:rsidR="009C36DE">
        <w:rPr>
          <w:lang w:val="fr-FR"/>
        </w:rPr>
        <w:t>’</w:t>
      </w:r>
      <w:r>
        <w:rPr>
          <w:lang w:val="fr-FR"/>
        </w:rPr>
        <w:t xml:space="preserve">aire ; à défaut, le contrat aurait été résilié </w:t>
      </w:r>
      <w:r>
        <w:rPr>
          <w:i/>
          <w:lang w:val="fr-FR"/>
        </w:rPr>
        <w:t>de jure</w:t>
      </w:r>
      <w:r>
        <w:rPr>
          <w:lang w:val="fr-FR"/>
        </w:rPr>
        <w:t>.</w:t>
      </w:r>
    </w:p>
    <w:p w:rsidR="00164CEE" w:rsidRDefault="00164CEE" w:rsidP="00C21462">
      <w:pPr>
        <w:pStyle w:val="ECHRPara"/>
        <w:rPr>
          <w:lang w:val="fr-FR"/>
        </w:rPr>
      </w:pPr>
      <w:bookmarkStart w:id="0" w:name="clausolaattonotariledivendita"/>
      <w:r>
        <w:rPr>
          <w:lang w:val="fr-FR"/>
        </w:rPr>
        <w:t>7</w:t>
      </w:r>
      <w:bookmarkEnd w:id="0"/>
      <w:r>
        <w:rPr>
          <w:lang w:val="fr-FR"/>
        </w:rPr>
        <w:t>.  L</w:t>
      </w:r>
      <w:r w:rsidR="009C36DE">
        <w:rPr>
          <w:lang w:val="fr-FR"/>
        </w:rPr>
        <w:t>’</w:t>
      </w:r>
      <w:r>
        <w:rPr>
          <w:lang w:val="fr-FR"/>
        </w:rPr>
        <w:t>acte notarié de vente contenait en outre la clause suivante : « Le présent contrat est d</w:t>
      </w:r>
      <w:r w:rsidR="009C36DE">
        <w:rPr>
          <w:lang w:val="fr-FR"/>
        </w:rPr>
        <w:t>’</w:t>
      </w:r>
      <w:r>
        <w:rPr>
          <w:lang w:val="fr-FR"/>
        </w:rPr>
        <w:t>ores et déjà contraignant pour le vendeur, il sera contraignant pour l</w:t>
      </w:r>
      <w:r w:rsidR="009C36DE">
        <w:rPr>
          <w:lang w:val="fr-FR"/>
        </w:rPr>
        <w:t>’</w:t>
      </w:r>
      <w:r>
        <w:rPr>
          <w:lang w:val="fr-FR"/>
        </w:rPr>
        <w:t>administration des postes seulement après avoir été approuvé en conformité avec la loi ».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8.  Le 7 mai 1992, la société O.R., qui s</w:t>
      </w:r>
      <w:r w:rsidR="009C36DE">
        <w:rPr>
          <w:lang w:val="fr-FR"/>
        </w:rPr>
        <w:t>’</w:t>
      </w:r>
      <w:r>
        <w:rPr>
          <w:lang w:val="fr-FR"/>
        </w:rPr>
        <w:t>était déclarée prête à consigner la première tranche de l</w:t>
      </w:r>
      <w:r w:rsidR="009C36DE">
        <w:rPr>
          <w:lang w:val="fr-FR"/>
        </w:rPr>
        <w:t>’</w:t>
      </w:r>
      <w:r>
        <w:rPr>
          <w:lang w:val="fr-FR"/>
        </w:rPr>
        <w:t>immeuble, ce qui aurait entraîné le paiement d</w:t>
      </w:r>
      <w:r w:rsidR="009C36DE">
        <w:rPr>
          <w:lang w:val="fr-FR"/>
        </w:rPr>
        <w:t>’</w:t>
      </w:r>
      <w:r>
        <w:rPr>
          <w:lang w:val="fr-FR"/>
        </w:rPr>
        <w:t>une partie du prix de vente, informa l</w:t>
      </w:r>
      <w:r w:rsidR="009C36DE">
        <w:rPr>
          <w:lang w:val="fr-FR"/>
        </w:rPr>
        <w:t>’</w:t>
      </w:r>
      <w:r>
        <w:rPr>
          <w:lang w:val="fr-FR"/>
        </w:rPr>
        <w:t>administration des postes que sa situation financière était précaire et qu</w:t>
      </w:r>
      <w:r w:rsidR="009C36DE">
        <w:rPr>
          <w:lang w:val="fr-FR"/>
        </w:rPr>
        <w:t>’</w:t>
      </w:r>
      <w:r>
        <w:rPr>
          <w:lang w:val="fr-FR"/>
        </w:rPr>
        <w:t xml:space="preserve">une banque créancière avait </w:t>
      </w:r>
      <w:r>
        <w:rPr>
          <w:i/>
          <w:lang w:val="fr-FR"/>
        </w:rPr>
        <w:t xml:space="preserve">de facto </w:t>
      </w:r>
      <w:r>
        <w:rPr>
          <w:lang w:val="fr-FR"/>
        </w:rPr>
        <w:t>bloqué son activité commerciale. Partant, l</w:t>
      </w:r>
      <w:r w:rsidR="009C36DE">
        <w:rPr>
          <w:lang w:val="fr-FR"/>
        </w:rPr>
        <w:t>’</w:t>
      </w:r>
      <w:r>
        <w:rPr>
          <w:lang w:val="fr-FR"/>
        </w:rPr>
        <w:t>absence d</w:t>
      </w:r>
      <w:r w:rsidR="009C36DE">
        <w:rPr>
          <w:lang w:val="fr-FR"/>
        </w:rPr>
        <w:t>’</w:t>
      </w:r>
      <w:r>
        <w:rPr>
          <w:lang w:val="fr-FR"/>
        </w:rPr>
        <w:t>une approbation du contrat de vente à bref délai était susceptible de provoquer un préjudice irréversible.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9.  Le directeur des postes répondit que le processus d</w:t>
      </w:r>
      <w:r w:rsidR="009C36DE">
        <w:rPr>
          <w:lang w:val="fr-FR"/>
        </w:rPr>
        <w:t>’</w:t>
      </w:r>
      <w:r>
        <w:rPr>
          <w:lang w:val="fr-FR"/>
        </w:rPr>
        <w:t>approbation était encore en cours.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10.  Par une note du 30 mai 1992, le ministre des postes et télécommunications (ci-après, « le ministre ») précisa que le 25 avril 1992, le gouvernement était entré en situation de crise, ce qui limitait son activité à l</w:t>
      </w:r>
      <w:r w:rsidR="009C36DE">
        <w:rPr>
          <w:lang w:val="fr-FR"/>
        </w:rPr>
        <w:t>’</w:t>
      </w:r>
      <w:r>
        <w:rPr>
          <w:lang w:val="fr-FR"/>
        </w:rPr>
        <w:t>administration courante. Or, l</w:t>
      </w:r>
      <w:r w:rsidR="009C36DE">
        <w:rPr>
          <w:lang w:val="fr-FR"/>
        </w:rPr>
        <w:t>’</w:t>
      </w:r>
      <w:r>
        <w:rPr>
          <w:lang w:val="fr-FR"/>
        </w:rPr>
        <w:t>approbation du contrat de vente litigieux excédait les bornes de celle-ci. En outre, la presse et un syndicat avaient âprement critiqué le choix de transférer les bureaux de la poste dans l</w:t>
      </w:r>
      <w:r w:rsidR="009C36DE">
        <w:rPr>
          <w:lang w:val="fr-FR"/>
        </w:rPr>
        <w:t>’</w:t>
      </w:r>
      <w:r>
        <w:rPr>
          <w:lang w:val="fr-FR"/>
        </w:rPr>
        <w:t>immeuble de la société O.R. Enfin, une directive sur la gestion du bilan de l</w:t>
      </w:r>
      <w:r w:rsidR="009C36DE">
        <w:rPr>
          <w:lang w:val="fr-FR"/>
        </w:rPr>
        <w:t>’</w:t>
      </w:r>
      <w:r>
        <w:rPr>
          <w:lang w:val="fr-FR"/>
        </w:rPr>
        <w:t>État avait suspendu toute nouvelle dépense publique jusqu</w:t>
      </w:r>
      <w:r w:rsidR="009C36DE">
        <w:rPr>
          <w:lang w:val="fr-FR"/>
        </w:rPr>
        <w:t>’</w:t>
      </w:r>
      <w:r>
        <w:rPr>
          <w:lang w:val="fr-FR"/>
        </w:rPr>
        <w:t>au 30 septembre 1992. Le ministre en concluait qu</w:t>
      </w:r>
      <w:r w:rsidR="009C36DE">
        <w:rPr>
          <w:lang w:val="fr-FR"/>
        </w:rPr>
        <w:t>’</w:t>
      </w:r>
      <w:r>
        <w:rPr>
          <w:lang w:val="fr-FR"/>
        </w:rPr>
        <w:t>en l</w:t>
      </w:r>
      <w:r w:rsidR="009C36DE">
        <w:rPr>
          <w:lang w:val="fr-FR"/>
        </w:rPr>
        <w:t>’</w:t>
      </w:r>
      <w:r>
        <w:rPr>
          <w:lang w:val="fr-FR"/>
        </w:rPr>
        <w:t>état de choses il n</w:t>
      </w:r>
      <w:r w:rsidR="009C36DE">
        <w:rPr>
          <w:lang w:val="fr-FR"/>
        </w:rPr>
        <w:t>’</w:t>
      </w:r>
      <w:r>
        <w:rPr>
          <w:lang w:val="fr-FR"/>
        </w:rPr>
        <w:t>était pas possible d</w:t>
      </w:r>
      <w:r w:rsidR="009C36DE">
        <w:rPr>
          <w:lang w:val="fr-FR"/>
        </w:rPr>
        <w:t>’</w:t>
      </w:r>
      <w:r>
        <w:rPr>
          <w:lang w:val="fr-FR"/>
        </w:rPr>
        <w:t>approuver le contrat de vente.</w:t>
      </w:r>
    </w:p>
    <w:p w:rsidR="00164CEE" w:rsidRDefault="00164CEE" w:rsidP="00C21462">
      <w:pPr>
        <w:pStyle w:val="ECHRPara"/>
        <w:rPr>
          <w:lang w:val="fr-FR"/>
        </w:rPr>
      </w:pPr>
      <w:bookmarkStart w:id="1" w:name="ordinedelgiornoconsigliocomunale"/>
      <w:r>
        <w:rPr>
          <w:lang w:val="fr-FR"/>
        </w:rPr>
        <w:t>11</w:t>
      </w:r>
      <w:bookmarkEnd w:id="1"/>
      <w:r>
        <w:rPr>
          <w:lang w:val="fr-FR"/>
        </w:rPr>
        <w:t>.  Le 2 juin 1992, le conseil communal de Rome adopta un ordre du jour par lequel il demandait au maire et à la commission communale (</w:t>
      </w:r>
      <w:r>
        <w:rPr>
          <w:i/>
          <w:lang w:val="fr-FR"/>
        </w:rPr>
        <w:t>Giunta comunale</w:t>
      </w:r>
      <w:r>
        <w:rPr>
          <w:lang w:val="fr-FR"/>
        </w:rPr>
        <w:t>) de n</w:t>
      </w:r>
      <w:r w:rsidR="009C36DE">
        <w:rPr>
          <w:lang w:val="fr-FR"/>
        </w:rPr>
        <w:t>’</w:t>
      </w:r>
      <w:r>
        <w:rPr>
          <w:lang w:val="fr-FR"/>
        </w:rPr>
        <w:t>octroyer aucune autorisation au changement de la destination de l</w:t>
      </w:r>
      <w:r w:rsidR="009C36DE">
        <w:rPr>
          <w:lang w:val="fr-FR"/>
        </w:rPr>
        <w:t>’</w:t>
      </w:r>
      <w:r>
        <w:rPr>
          <w:lang w:val="fr-FR"/>
        </w:rPr>
        <w:t>immeuble de la société O.R. et de l</w:t>
      </w:r>
      <w:r w:rsidR="009C36DE">
        <w:rPr>
          <w:lang w:val="fr-FR"/>
        </w:rPr>
        <w:t>’</w:t>
      </w:r>
      <w:r>
        <w:rPr>
          <w:lang w:val="fr-FR"/>
        </w:rPr>
        <w:t>aire sur laquelle il était bâti, qui selon le Conseil communal aurait dû rester destinée uniquement à des activités productives.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12.  Le 22 juin 1992, la société O.R., notant que la conduite des autorités l</w:t>
      </w:r>
      <w:r w:rsidR="009C36DE">
        <w:rPr>
          <w:lang w:val="fr-FR"/>
        </w:rPr>
        <w:t>’</w:t>
      </w:r>
      <w:r>
        <w:rPr>
          <w:lang w:val="fr-FR"/>
        </w:rPr>
        <w:t>avait plongée dans une crise financière très grave, mit en demeure l</w:t>
      </w:r>
      <w:r w:rsidR="009C36DE">
        <w:rPr>
          <w:lang w:val="fr-FR"/>
        </w:rPr>
        <w:t>’</w:t>
      </w:r>
      <w:r>
        <w:rPr>
          <w:lang w:val="fr-FR"/>
        </w:rPr>
        <w:t>administration des postes, lui intimant d</w:t>
      </w:r>
      <w:r w:rsidR="009C36DE">
        <w:rPr>
          <w:lang w:val="fr-FR"/>
        </w:rPr>
        <w:t>’</w:t>
      </w:r>
      <w:r>
        <w:rPr>
          <w:lang w:val="fr-FR"/>
        </w:rPr>
        <w:t>approuver le contrat de vente dans un délai de quinze jours.</w:t>
      </w:r>
    </w:p>
    <w:p w:rsidR="00164CEE" w:rsidRDefault="00164CEE" w:rsidP="00C21462">
      <w:pPr>
        <w:pStyle w:val="ECHRPara"/>
        <w:rPr>
          <w:lang w:val="fr-FR"/>
        </w:rPr>
      </w:pPr>
      <w:bookmarkStart w:id="2" w:name="decretoministerialenonapprovazione"/>
      <w:r>
        <w:rPr>
          <w:lang w:val="fr-FR"/>
        </w:rPr>
        <w:t>13</w:t>
      </w:r>
      <w:bookmarkEnd w:id="2"/>
      <w:r>
        <w:rPr>
          <w:lang w:val="fr-FR"/>
        </w:rPr>
        <w:t>.  Par un décret du 1</w:t>
      </w:r>
      <w:r w:rsidRPr="00C36A58">
        <w:rPr>
          <w:vertAlign w:val="superscript"/>
          <w:lang w:val="fr-FR"/>
        </w:rPr>
        <w:t>er</w:t>
      </w:r>
      <w:r>
        <w:rPr>
          <w:lang w:val="fr-FR"/>
        </w:rPr>
        <w:t xml:space="preserve"> août 1992, le ministre décida de ne pas approuver le contrat de vente litigieux. Il observa que l</w:t>
      </w:r>
      <w:r w:rsidR="009C36DE">
        <w:rPr>
          <w:lang w:val="fr-FR"/>
        </w:rPr>
        <w:t>’</w:t>
      </w:r>
      <w:r>
        <w:rPr>
          <w:lang w:val="fr-FR"/>
        </w:rPr>
        <w:t>ordre du jour adopté par le Conseil communal de Rome rendait impossible d</w:t>
      </w:r>
      <w:r w:rsidR="009C36DE">
        <w:rPr>
          <w:lang w:val="fr-FR"/>
        </w:rPr>
        <w:t>’</w:t>
      </w:r>
      <w:r>
        <w:rPr>
          <w:lang w:val="fr-FR"/>
        </w:rPr>
        <w:t>utiliser l</w:t>
      </w:r>
      <w:r w:rsidR="009C36DE">
        <w:rPr>
          <w:lang w:val="fr-FR"/>
        </w:rPr>
        <w:t>’</w:t>
      </w:r>
      <w:r>
        <w:rPr>
          <w:lang w:val="fr-FR"/>
        </w:rPr>
        <w:t>immeuble de la société O.R. pour des activités autres que les activités productives. Dès lors, la destination de l</w:t>
      </w:r>
      <w:r w:rsidR="009C36DE">
        <w:rPr>
          <w:lang w:val="fr-FR"/>
        </w:rPr>
        <w:t>’</w:t>
      </w:r>
      <w:r>
        <w:rPr>
          <w:lang w:val="fr-FR"/>
        </w:rPr>
        <w:t>aire ne satisfaisait pas aux exigences de l</w:t>
      </w:r>
      <w:r w:rsidR="009C36DE">
        <w:rPr>
          <w:lang w:val="fr-FR"/>
        </w:rPr>
        <w:t>’</w:t>
      </w:r>
      <w:r>
        <w:rPr>
          <w:lang w:val="fr-FR"/>
        </w:rPr>
        <w:t>administration des postes et il y avait lieu d</w:t>
      </w:r>
      <w:r w:rsidR="009C36DE">
        <w:rPr>
          <w:lang w:val="fr-FR"/>
        </w:rPr>
        <w:t>’</w:t>
      </w:r>
      <w:r>
        <w:rPr>
          <w:lang w:val="fr-FR"/>
        </w:rPr>
        <w:t>appliquer l</w:t>
      </w:r>
      <w:r w:rsidR="009C36DE">
        <w:rPr>
          <w:lang w:val="fr-FR"/>
        </w:rPr>
        <w:t>’</w:t>
      </w:r>
      <w:r>
        <w:rPr>
          <w:lang w:val="fr-FR"/>
        </w:rPr>
        <w:t>article 113 § 1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> 826 du 23 mai 1924 (paragraphe 30 ci-après), qui permettait de refuser l</w:t>
      </w:r>
      <w:r w:rsidR="009C36DE">
        <w:rPr>
          <w:lang w:val="fr-FR"/>
        </w:rPr>
        <w:t>’</w:t>
      </w:r>
      <w:r>
        <w:rPr>
          <w:lang w:val="fr-FR"/>
        </w:rPr>
        <w:t>ap</w:t>
      </w:r>
      <w:r w:rsidR="007C69BE">
        <w:rPr>
          <w:lang w:val="fr-FR"/>
        </w:rPr>
        <w:t>probation des contrats pour de</w:t>
      </w:r>
      <w:r>
        <w:rPr>
          <w:lang w:val="fr-FR"/>
        </w:rPr>
        <w:t xml:space="preserve"> graves motifs d</w:t>
      </w:r>
      <w:r w:rsidR="009C36DE">
        <w:rPr>
          <w:lang w:val="fr-FR"/>
        </w:rPr>
        <w:t>’</w:t>
      </w:r>
      <w:r>
        <w:rPr>
          <w:lang w:val="fr-FR"/>
        </w:rPr>
        <w:t>intérêt public.</w:t>
      </w:r>
    </w:p>
    <w:p w:rsidR="00164CEE" w:rsidRDefault="00164CEE" w:rsidP="00C21462">
      <w:pPr>
        <w:pStyle w:val="ECHRHeading3"/>
        <w:rPr>
          <w:lang w:val="fr-FR"/>
        </w:rPr>
      </w:pPr>
      <w:r>
        <w:rPr>
          <w:lang w:val="fr-FR"/>
        </w:rPr>
        <w:t>2.  La procédure civile en dédommagement entamée par la société O.R.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14.  Le 4 août 1992, la société O.R. assigna l</w:t>
      </w:r>
      <w:r w:rsidR="009C36DE">
        <w:rPr>
          <w:lang w:val="fr-FR"/>
        </w:rPr>
        <w:t>’</w:t>
      </w:r>
      <w:r>
        <w:rPr>
          <w:lang w:val="fr-FR"/>
        </w:rPr>
        <w:t>administration des postes devant le tribunal de Rome afin d</w:t>
      </w:r>
      <w:r w:rsidR="009C36DE">
        <w:rPr>
          <w:lang w:val="fr-FR"/>
        </w:rPr>
        <w:t>’</w:t>
      </w:r>
      <w:r>
        <w:rPr>
          <w:lang w:val="fr-FR"/>
        </w:rPr>
        <w:t>obtenir la résiliation pour faute du contrat de vente et la réparation des dommages subis, qu</w:t>
      </w:r>
      <w:r w:rsidR="009C36DE">
        <w:rPr>
          <w:lang w:val="fr-FR"/>
        </w:rPr>
        <w:t>’</w:t>
      </w:r>
      <w:r>
        <w:rPr>
          <w:lang w:val="fr-FR"/>
        </w:rPr>
        <w:t>elle évalua à 100 milliards ITL (environ 51 645 689 EUR).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rFonts w:cstheme="minorHAnsi"/>
          <w:lang w:val="fr-FR"/>
        </w:rPr>
        <w:t>15.  P</w:t>
      </w:r>
      <w:r>
        <w:rPr>
          <w:lang w:val="fr-FR"/>
        </w:rPr>
        <w:t>ar un jugement du 25 mars 1994, prononcé dans une procédure séparée, le tribunal de Rome déclara la faillite de la société O.R.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16.  Par un jugement du 7 novembre 2000, dont le texte fut déposé au greffe le 20 novembre 2000, le tribunal de Rome rejeta la demande de la société O.R. Il observa qu</w:t>
      </w:r>
      <w:r w:rsidR="009C36DE">
        <w:rPr>
          <w:lang w:val="fr-FR"/>
        </w:rPr>
        <w:t>’</w:t>
      </w:r>
      <w:r>
        <w:rPr>
          <w:lang w:val="fr-FR"/>
        </w:rPr>
        <w:t>aux termes de l</w:t>
      </w:r>
      <w:r w:rsidR="009C36DE">
        <w:rPr>
          <w:lang w:val="fr-FR"/>
        </w:rPr>
        <w:t>’</w:t>
      </w:r>
      <w:r>
        <w:rPr>
          <w:lang w:val="fr-FR"/>
        </w:rPr>
        <w:t>article 19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2440 du 18 novembre 1923, les contrats étaient contraignants pour l</w:t>
      </w:r>
      <w:r w:rsidR="009C36DE">
        <w:rPr>
          <w:lang w:val="fr-FR"/>
        </w:rPr>
        <w:t>’</w:t>
      </w:r>
      <w:r>
        <w:rPr>
          <w:lang w:val="fr-FR"/>
        </w:rPr>
        <w:t>administration seulement s</w:t>
      </w:r>
      <w:r w:rsidR="009C36DE">
        <w:rPr>
          <w:lang w:val="fr-FR"/>
        </w:rPr>
        <w:t>’</w:t>
      </w:r>
      <w:r>
        <w:rPr>
          <w:lang w:val="fr-FR"/>
        </w:rPr>
        <w:t>ils avaient été approuvés, et qu</w:t>
      </w:r>
      <w:r w:rsidR="009C36DE">
        <w:rPr>
          <w:lang w:val="fr-FR"/>
        </w:rPr>
        <w:t>’</w:t>
      </w:r>
      <w:r>
        <w:rPr>
          <w:lang w:val="fr-FR"/>
        </w:rPr>
        <w:t>en l</w:t>
      </w:r>
      <w:r w:rsidR="009C36DE">
        <w:rPr>
          <w:lang w:val="fr-FR"/>
        </w:rPr>
        <w:t>’</w:t>
      </w:r>
      <w:r>
        <w:rPr>
          <w:lang w:val="fr-FR"/>
        </w:rPr>
        <w:t>espèce une telle approbation avait été refusée. Par ailleurs, selon la jurisprudence du Conseil d</w:t>
      </w:r>
      <w:r w:rsidR="009C36DE">
        <w:rPr>
          <w:lang w:val="fr-FR"/>
        </w:rPr>
        <w:t>’</w:t>
      </w:r>
      <w:r>
        <w:rPr>
          <w:lang w:val="fr-FR"/>
        </w:rPr>
        <w:t>État, l</w:t>
      </w:r>
      <w:r w:rsidR="009C36DE">
        <w:rPr>
          <w:lang w:val="fr-FR"/>
        </w:rPr>
        <w:t>’</w:t>
      </w:r>
      <w:r>
        <w:rPr>
          <w:lang w:val="fr-FR"/>
        </w:rPr>
        <w:t>approbation en question n</w:t>
      </w:r>
      <w:r w:rsidR="009C36DE">
        <w:rPr>
          <w:lang w:val="fr-FR"/>
        </w:rPr>
        <w:t>’</w:t>
      </w:r>
      <w:r>
        <w:rPr>
          <w:lang w:val="fr-FR"/>
        </w:rPr>
        <w:t>était pas un acte dû (</w:t>
      </w:r>
      <w:r>
        <w:rPr>
          <w:i/>
          <w:lang w:val="fr-FR"/>
        </w:rPr>
        <w:t>atto dovuto</w:t>
      </w:r>
      <w:r>
        <w:rPr>
          <w:lang w:val="fr-FR"/>
        </w:rPr>
        <w:t>), mais un acte laissé à la discrétion de l</w:t>
      </w:r>
      <w:r w:rsidR="009C36DE">
        <w:rPr>
          <w:lang w:val="fr-FR"/>
        </w:rPr>
        <w:t>’</w:t>
      </w:r>
      <w:r>
        <w:rPr>
          <w:lang w:val="fr-FR"/>
        </w:rPr>
        <w:t>administration, tenue à évaluer si tous les éléments de fait et de droit du contrat continuaient à satisfaire aux exigences de l</w:t>
      </w:r>
      <w:r w:rsidR="009C36DE">
        <w:rPr>
          <w:lang w:val="fr-FR"/>
        </w:rPr>
        <w:t>’</w:t>
      </w:r>
      <w:r>
        <w:rPr>
          <w:lang w:val="fr-FR"/>
        </w:rPr>
        <w:t>intérêt public.</w:t>
      </w:r>
      <w:r>
        <w:rPr>
          <w:i/>
          <w:lang w:val="fr-FR"/>
        </w:rPr>
        <w:t xml:space="preserve"> </w:t>
      </w:r>
      <w:r>
        <w:rPr>
          <w:lang w:val="fr-FR"/>
        </w:rPr>
        <w:t>On ne pouvait donc pas imputer à l</w:t>
      </w:r>
      <w:r w:rsidR="009C36DE">
        <w:rPr>
          <w:lang w:val="fr-FR"/>
        </w:rPr>
        <w:t>’</w:t>
      </w:r>
      <w:r>
        <w:rPr>
          <w:lang w:val="fr-FR"/>
        </w:rPr>
        <w:t>administration une responsabilité contractuelle.</w:t>
      </w:r>
      <w:r w:rsidRPr="00C34135">
        <w:rPr>
          <w:lang w:val="fr-FR"/>
        </w:rPr>
        <w:t xml:space="preserve"> </w:t>
      </w:r>
      <w:r>
        <w:rPr>
          <w:lang w:val="fr-FR"/>
        </w:rPr>
        <w:t>Pour ce qui était de la responsabilité précontractuelle (qui surgissait en cas de non-conclusion d</w:t>
      </w:r>
      <w:r w:rsidR="009C36DE">
        <w:rPr>
          <w:lang w:val="fr-FR"/>
        </w:rPr>
        <w:t>’</w:t>
      </w:r>
      <w:r>
        <w:rPr>
          <w:lang w:val="fr-FR"/>
        </w:rPr>
        <w:t>un contrat), elle devait être exclue, car à l</w:t>
      </w:r>
      <w:r w:rsidR="009C36DE">
        <w:rPr>
          <w:lang w:val="fr-FR"/>
        </w:rPr>
        <w:t>’</w:t>
      </w:r>
      <w:r>
        <w:rPr>
          <w:lang w:val="fr-FR"/>
        </w:rPr>
        <w:t>issue des négociations un contrat de vente, bien que dépourvu d</w:t>
      </w:r>
      <w:r w:rsidR="009C36DE">
        <w:rPr>
          <w:lang w:val="fr-FR"/>
        </w:rPr>
        <w:t>’</w:t>
      </w:r>
      <w:r>
        <w:rPr>
          <w:lang w:val="fr-FR"/>
        </w:rPr>
        <w:t>effets, avait été stipulé.</w:t>
      </w:r>
    </w:p>
    <w:p w:rsidR="00164CEE" w:rsidRDefault="00164CEE" w:rsidP="00C21462">
      <w:pPr>
        <w:pStyle w:val="ECHRPara"/>
        <w:rPr>
          <w:lang w:val="fr-FR"/>
        </w:rPr>
      </w:pPr>
      <w:bookmarkStart w:id="3" w:name="possibilitaricorsotribamm"/>
      <w:r>
        <w:rPr>
          <w:lang w:val="fr-FR"/>
        </w:rPr>
        <w:t>17</w:t>
      </w:r>
      <w:bookmarkEnd w:id="3"/>
      <w:r>
        <w:rPr>
          <w:lang w:val="fr-FR"/>
        </w:rPr>
        <w:t>.  Le tribunal de Rome précisa que si elle souhaitait contester la décision du ministre et l</w:t>
      </w:r>
      <w:r w:rsidR="009C36DE">
        <w:rPr>
          <w:lang w:val="fr-FR"/>
        </w:rPr>
        <w:t>’</w:t>
      </w:r>
      <w:r>
        <w:rPr>
          <w:lang w:val="fr-FR"/>
        </w:rPr>
        <w:t>exercice qui y avait été fait du pouvoir discrétionnaire, la société O.R. aurait dû attaquer le décret ministériel du 1</w:t>
      </w:r>
      <w:r w:rsidRPr="00C34135"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> </w:t>
      </w:r>
      <w:r>
        <w:rPr>
          <w:lang w:val="fr-FR"/>
        </w:rPr>
        <w:t>août 1992 devant les juridictions administratives, les juridictions judiciaires n</w:t>
      </w:r>
      <w:r w:rsidR="009C36DE">
        <w:rPr>
          <w:lang w:val="fr-FR"/>
        </w:rPr>
        <w:t>’</w:t>
      </w:r>
      <w:r>
        <w:rPr>
          <w:lang w:val="fr-FR"/>
        </w:rPr>
        <w:t>étaient pas compétentes en la matière.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18.  La société O.R. interjeta appel.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19.  Par un arrêt du 17 juillet 2004, dont le texte fut déposé au greffe le 9 septembre 2004, la cour d</w:t>
      </w:r>
      <w:r w:rsidR="009C36DE">
        <w:rPr>
          <w:lang w:val="fr-FR"/>
        </w:rPr>
        <w:t>’</w:t>
      </w:r>
      <w:r>
        <w:rPr>
          <w:lang w:val="fr-FR"/>
        </w:rPr>
        <w:t>appel de Rome confirma le jugement de première instance.</w:t>
      </w:r>
    </w:p>
    <w:p w:rsidR="00164CEE" w:rsidRDefault="00164CEE" w:rsidP="00C21462">
      <w:pPr>
        <w:pStyle w:val="ECHRPara"/>
        <w:rPr>
          <w:lang w:val="fr-FR"/>
        </w:rPr>
      </w:pPr>
      <w:bookmarkStart w:id="4" w:name="buonafedecorteappello"/>
      <w:r>
        <w:rPr>
          <w:lang w:val="fr-FR"/>
        </w:rPr>
        <w:t>20</w:t>
      </w:r>
      <w:bookmarkEnd w:id="4"/>
      <w:r>
        <w:rPr>
          <w:lang w:val="fr-FR"/>
        </w:rPr>
        <w:t>.  Elle observa qu</w:t>
      </w:r>
      <w:r w:rsidR="009C36DE">
        <w:rPr>
          <w:lang w:val="fr-FR"/>
        </w:rPr>
        <w:t>’</w:t>
      </w:r>
      <w:r>
        <w:rPr>
          <w:lang w:val="fr-FR"/>
        </w:rPr>
        <w:t>il était vrai que la jurisprudence interne admettait désormais la possibilité d</w:t>
      </w:r>
      <w:r w:rsidR="009C36DE">
        <w:rPr>
          <w:lang w:val="fr-FR"/>
        </w:rPr>
        <w:t>’</w:t>
      </w:r>
      <w:r>
        <w:rPr>
          <w:lang w:val="fr-FR"/>
        </w:rPr>
        <w:t>une responsabilité précontractuelle de l</w:t>
      </w:r>
      <w:r w:rsidR="009C36DE">
        <w:rPr>
          <w:lang w:val="fr-FR"/>
        </w:rPr>
        <w:t>’</w:t>
      </w:r>
      <w:r>
        <w:rPr>
          <w:lang w:val="fr-FR"/>
        </w:rPr>
        <w:t>administration. Cependant, en l</w:t>
      </w:r>
      <w:r w:rsidR="009C36DE">
        <w:rPr>
          <w:lang w:val="fr-FR"/>
        </w:rPr>
        <w:t>’</w:t>
      </w:r>
      <w:r>
        <w:rPr>
          <w:lang w:val="fr-FR"/>
        </w:rPr>
        <w:t>espèce l</w:t>
      </w:r>
      <w:r w:rsidR="009C36DE">
        <w:rPr>
          <w:lang w:val="fr-FR"/>
        </w:rPr>
        <w:t>’</w:t>
      </w:r>
      <w:r>
        <w:rPr>
          <w:lang w:val="fr-FR"/>
        </w:rPr>
        <w:t>administration avait tenu un comportement correct et avait agi en bonne foi. À cet égard, il convenait de noter que l</w:t>
      </w:r>
      <w:r w:rsidR="009C36DE">
        <w:rPr>
          <w:lang w:val="fr-FR"/>
        </w:rPr>
        <w:t>’</w:t>
      </w:r>
      <w:r>
        <w:rPr>
          <w:lang w:val="fr-FR"/>
        </w:rPr>
        <w:t>acte notarié de vente prévoyait la résiliation du contrat en cas de non-obtention, par le vendeur, de la mutation de la destination de l</w:t>
      </w:r>
      <w:r w:rsidR="009C36DE">
        <w:rPr>
          <w:lang w:val="fr-FR"/>
        </w:rPr>
        <w:t>’</w:t>
      </w:r>
      <w:r>
        <w:rPr>
          <w:lang w:val="fr-FR"/>
        </w:rPr>
        <w:t>aire avant le 31 mai 1993.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21.  Entre-temps, le 17 février 2003, les deux premiers requérants constituèrent la société à société limitée Lempira, qui est la quatrième requérante.</w:t>
      </w:r>
    </w:p>
    <w:p w:rsidR="00164CEE" w:rsidRDefault="00164CEE" w:rsidP="00C21462">
      <w:pPr>
        <w:pStyle w:val="ECHRPara"/>
        <w:rPr>
          <w:lang w:val="fr-FR"/>
        </w:rPr>
      </w:pPr>
      <w:bookmarkStart w:id="5" w:name="cessionedelcredito"/>
      <w:r>
        <w:rPr>
          <w:lang w:val="fr-FR"/>
        </w:rPr>
        <w:t>22</w:t>
      </w:r>
      <w:bookmarkEnd w:id="5"/>
      <w:r>
        <w:rPr>
          <w:lang w:val="fr-FR"/>
        </w:rPr>
        <w:t>.  Le 25 novembre 2003, le liquidateur de la faillite de la société O.R., dûment autorisé par le juge délégué de la faillite, céda à la société Lempira toute créance découlant du contrat de vente stipulé avec l</w:t>
      </w:r>
      <w:r w:rsidR="009C36DE">
        <w:rPr>
          <w:lang w:val="fr-FR"/>
        </w:rPr>
        <w:t>’</w:t>
      </w:r>
      <w:r>
        <w:rPr>
          <w:lang w:val="fr-FR"/>
        </w:rPr>
        <w:t>administration des postes.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23.  Le 15 avril 2005, la quatrième requérante, agissant en sa qualité d</w:t>
      </w:r>
      <w:r w:rsidR="009C36DE">
        <w:rPr>
          <w:lang w:val="fr-FR"/>
        </w:rPr>
        <w:t>’</w:t>
      </w:r>
      <w:r>
        <w:rPr>
          <w:lang w:val="fr-FR"/>
        </w:rPr>
        <w:t>acheteuse de la créance de la société O.R. envers l</w:t>
      </w:r>
      <w:r w:rsidR="009C36DE">
        <w:rPr>
          <w:lang w:val="fr-FR"/>
        </w:rPr>
        <w:t>’</w:t>
      </w:r>
      <w:r>
        <w:rPr>
          <w:lang w:val="fr-FR"/>
        </w:rPr>
        <w:t>administration des postes, se pourvut en cassation contre l</w:t>
      </w:r>
      <w:r w:rsidR="009C36DE">
        <w:rPr>
          <w:lang w:val="fr-FR"/>
        </w:rPr>
        <w:t>’</w:t>
      </w:r>
      <w:r>
        <w:rPr>
          <w:lang w:val="fr-FR"/>
        </w:rPr>
        <w:t>arrêt de la cour d</w:t>
      </w:r>
      <w:r w:rsidR="009C36DE">
        <w:rPr>
          <w:lang w:val="fr-FR"/>
        </w:rPr>
        <w:t>’</w:t>
      </w:r>
      <w:r>
        <w:rPr>
          <w:lang w:val="fr-FR"/>
        </w:rPr>
        <w:t>appel de Rome du 17 juillet 2004.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24.  Par une ordonnance du tribunal de Rome du 7 juin 2006, la procédure de faillite fut clôturée, la société O.R. ayant cessé d</w:t>
      </w:r>
      <w:r w:rsidR="009C36DE">
        <w:rPr>
          <w:lang w:val="fr-FR"/>
        </w:rPr>
        <w:t>’</w:t>
      </w:r>
      <w:r>
        <w:rPr>
          <w:lang w:val="fr-FR"/>
        </w:rPr>
        <w:t>être en état d</w:t>
      </w:r>
      <w:r w:rsidR="009C36DE">
        <w:rPr>
          <w:lang w:val="fr-FR"/>
        </w:rPr>
        <w:t>’</w:t>
      </w:r>
      <w:r>
        <w:rPr>
          <w:lang w:val="fr-FR"/>
        </w:rPr>
        <w:t>insolvabilité.</w:t>
      </w:r>
    </w:p>
    <w:p w:rsidR="00164CEE" w:rsidRDefault="00164CEE" w:rsidP="00C21462">
      <w:pPr>
        <w:pStyle w:val="ECHRPara"/>
        <w:rPr>
          <w:lang w:val="fr-FR"/>
        </w:rPr>
      </w:pPr>
      <w:bookmarkStart w:id="6" w:name="trasformazioensocietà"/>
      <w:r>
        <w:rPr>
          <w:lang w:val="fr-FR"/>
        </w:rPr>
        <w:t>25</w:t>
      </w:r>
      <w:bookmarkEnd w:id="6"/>
      <w:r>
        <w:rPr>
          <w:lang w:val="fr-FR"/>
        </w:rPr>
        <w:t>.  En avril 2007, la société O.R. fut transformée en une nouvelle société, S.E.G.I. S.r.l., dont les quotes-parts appartenaient aux trois premiers requérants. Le 22 octobre 2007, ces derniers cédèrent les quotes-parts en question à une autre société, DB constructions S.r.l., qui devint ainsi l</w:t>
      </w:r>
      <w:r w:rsidR="009C36DE">
        <w:rPr>
          <w:lang w:val="fr-FR"/>
        </w:rPr>
        <w:t>’</w:t>
      </w:r>
      <w:r>
        <w:rPr>
          <w:lang w:val="fr-FR"/>
        </w:rPr>
        <w:t>unique associé de la société S.E.G.I. S.r.l.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26.  Par un arrêt du 8 juillet 2008, dont le texte fut déposé au greffe le 10 octobre 2008, la Cour de cassation, estimant que la cour d</w:t>
      </w:r>
      <w:r w:rsidR="009C36DE">
        <w:rPr>
          <w:lang w:val="fr-FR"/>
        </w:rPr>
        <w:t>’</w:t>
      </w:r>
      <w:r>
        <w:rPr>
          <w:lang w:val="fr-FR"/>
        </w:rPr>
        <w:t>appel avait motivé de façon logique et correcte tous les points controversés, débouta la quatrième requérante de son pourvoi.</w:t>
      </w:r>
    </w:p>
    <w:p w:rsidR="00164CEE" w:rsidRDefault="00164CEE" w:rsidP="00C21462">
      <w:pPr>
        <w:pStyle w:val="ECHRPara"/>
        <w:rPr>
          <w:lang w:val="fr-FR"/>
        </w:rPr>
      </w:pPr>
      <w:bookmarkStart w:id="7" w:name="buonafedecortecassazione"/>
      <w:r>
        <w:rPr>
          <w:lang w:val="fr-FR"/>
        </w:rPr>
        <w:t>27</w:t>
      </w:r>
      <w:bookmarkEnd w:id="7"/>
      <w:r>
        <w:rPr>
          <w:lang w:val="fr-FR"/>
        </w:rPr>
        <w:t>.  Elle observa que le 2 juin 1992, le conseil communal de Rome avait adopté un ordre du jour par lequel il demandait au maire et à la commission communale de n</w:t>
      </w:r>
      <w:r w:rsidR="009C36DE">
        <w:rPr>
          <w:lang w:val="fr-FR"/>
        </w:rPr>
        <w:t>’</w:t>
      </w:r>
      <w:r>
        <w:rPr>
          <w:lang w:val="fr-FR"/>
        </w:rPr>
        <w:t>octroyer aucune autorisation au changement de la destination de l</w:t>
      </w:r>
      <w:r w:rsidR="009C36DE">
        <w:rPr>
          <w:lang w:val="fr-FR"/>
        </w:rPr>
        <w:t>’</w:t>
      </w:r>
      <w:r>
        <w:rPr>
          <w:lang w:val="fr-FR"/>
        </w:rPr>
        <w:t>immeuble de la société O.R. (paragraphe 11 ci-dessus). Il était vrai qu</w:t>
      </w:r>
      <w:r w:rsidR="009C36DE">
        <w:rPr>
          <w:lang w:val="fr-FR"/>
        </w:rPr>
        <w:t>’</w:t>
      </w:r>
      <w:r>
        <w:rPr>
          <w:lang w:val="fr-FR"/>
        </w:rPr>
        <w:t>un tel ordre du jour n</w:t>
      </w:r>
      <w:r w:rsidR="009C36DE">
        <w:rPr>
          <w:lang w:val="fr-FR"/>
        </w:rPr>
        <w:t>’</w:t>
      </w:r>
      <w:r>
        <w:rPr>
          <w:lang w:val="fr-FR"/>
        </w:rPr>
        <w:t>était pas contraignant ; il n</w:t>
      </w:r>
      <w:r w:rsidR="009C36DE">
        <w:rPr>
          <w:lang w:val="fr-FR"/>
        </w:rPr>
        <w:t>’</w:t>
      </w:r>
      <w:r>
        <w:rPr>
          <w:lang w:val="fr-FR"/>
        </w:rPr>
        <w:t>en demeurait pas moins qu</w:t>
      </w:r>
      <w:r w:rsidR="009C36DE">
        <w:rPr>
          <w:lang w:val="fr-FR"/>
        </w:rPr>
        <w:t>’</w:t>
      </w:r>
      <w:r>
        <w:rPr>
          <w:lang w:val="fr-FR"/>
        </w:rPr>
        <w:t>il s</w:t>
      </w:r>
      <w:r w:rsidR="009C36DE">
        <w:rPr>
          <w:lang w:val="fr-FR"/>
        </w:rPr>
        <w:t>’</w:t>
      </w:r>
      <w:r>
        <w:rPr>
          <w:lang w:val="fr-FR"/>
        </w:rPr>
        <w:t>agissait d</w:t>
      </w:r>
      <w:r w:rsidR="009C36DE">
        <w:rPr>
          <w:lang w:val="fr-FR"/>
        </w:rPr>
        <w:t>’</w:t>
      </w:r>
      <w:r>
        <w:rPr>
          <w:lang w:val="fr-FR"/>
        </w:rPr>
        <w:t>un acte de direction (</w:t>
      </w:r>
      <w:r>
        <w:rPr>
          <w:i/>
          <w:lang w:val="fr-FR"/>
        </w:rPr>
        <w:t>atto di indirizzo</w:t>
      </w:r>
      <w:r>
        <w:rPr>
          <w:lang w:val="fr-FR"/>
        </w:rPr>
        <w:t>) et de contrôle politique et administratif. Il était partant improbable que le maire et la commission communale pût l</w:t>
      </w:r>
      <w:r w:rsidR="009C36DE">
        <w:rPr>
          <w:lang w:val="fr-FR"/>
        </w:rPr>
        <w:t>’</w:t>
      </w:r>
      <w:r>
        <w:rPr>
          <w:lang w:val="fr-FR"/>
        </w:rPr>
        <w:t>ignorer et autoriser la mutation de destination litigieuse. Il s</w:t>
      </w:r>
      <w:r w:rsidR="009C36DE">
        <w:rPr>
          <w:lang w:val="fr-FR"/>
        </w:rPr>
        <w:t>’</w:t>
      </w:r>
      <w:r>
        <w:rPr>
          <w:lang w:val="fr-FR"/>
        </w:rPr>
        <w:t>ensuivait que le refus d</w:t>
      </w:r>
      <w:r w:rsidR="009C36DE">
        <w:rPr>
          <w:lang w:val="fr-FR"/>
        </w:rPr>
        <w:t>’</w:t>
      </w:r>
      <w:r>
        <w:rPr>
          <w:lang w:val="fr-FR"/>
        </w:rPr>
        <w:t>approuver le contrat de vente ne pouvait pas être censuré sur le plan administratif et que l</w:t>
      </w:r>
      <w:r w:rsidR="009C36DE">
        <w:rPr>
          <w:lang w:val="fr-FR"/>
        </w:rPr>
        <w:t>’</w:t>
      </w:r>
      <w:r>
        <w:rPr>
          <w:lang w:val="fr-FR"/>
        </w:rPr>
        <w:t>administration avait correctement appliqué l</w:t>
      </w:r>
      <w:r w:rsidR="009C36DE">
        <w:rPr>
          <w:lang w:val="fr-FR"/>
        </w:rPr>
        <w:t>’</w:t>
      </w:r>
      <w:r>
        <w:rPr>
          <w:lang w:val="fr-FR"/>
        </w:rPr>
        <w:t>article 19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> 2440 de 1923. En effet, le ministre avait dûment tenu compte du fait que la non-obtention de la mutation litigieuse était une cause de résiliation automatique du contrat de vente. L</w:t>
      </w:r>
      <w:r w:rsidR="009C36DE">
        <w:rPr>
          <w:lang w:val="fr-FR"/>
        </w:rPr>
        <w:t>’</w:t>
      </w:r>
      <w:r>
        <w:rPr>
          <w:lang w:val="fr-FR"/>
        </w:rPr>
        <w:t>intérêt public justifiait donc la décision du ministre, qui en refusant d</w:t>
      </w:r>
      <w:r w:rsidR="009C36DE">
        <w:rPr>
          <w:lang w:val="fr-FR"/>
        </w:rPr>
        <w:t>’</w:t>
      </w:r>
      <w:r>
        <w:rPr>
          <w:lang w:val="fr-FR"/>
        </w:rPr>
        <w:t>approuver un contrat destiné à être résilié, avait agi en bonne foi et aussi dans l</w:t>
      </w:r>
      <w:r w:rsidR="009C36DE">
        <w:rPr>
          <w:lang w:val="fr-FR"/>
        </w:rPr>
        <w:t>’</w:t>
      </w:r>
      <w:r>
        <w:rPr>
          <w:lang w:val="fr-FR"/>
        </w:rPr>
        <w:t>optique d</w:t>
      </w:r>
      <w:r w:rsidR="009C36DE">
        <w:rPr>
          <w:lang w:val="fr-FR"/>
        </w:rPr>
        <w:t>’</w:t>
      </w:r>
      <w:r>
        <w:rPr>
          <w:lang w:val="fr-FR"/>
        </w:rPr>
        <w:t>éviter tout préjudice ultérieur au vendeur. Par ailleurs, ce dernier n</w:t>
      </w:r>
      <w:r w:rsidR="009C36DE">
        <w:rPr>
          <w:lang w:val="fr-FR"/>
        </w:rPr>
        <w:t>’</w:t>
      </w:r>
      <w:r>
        <w:rPr>
          <w:lang w:val="fr-FR"/>
        </w:rPr>
        <w:t>avait pas démontré de s</w:t>
      </w:r>
      <w:r w:rsidR="009C36DE">
        <w:rPr>
          <w:lang w:val="fr-FR"/>
        </w:rPr>
        <w:t>’</w:t>
      </w:r>
      <w:r>
        <w:rPr>
          <w:lang w:val="fr-FR"/>
        </w:rPr>
        <w:t>être activé auprès des organes administratifs compétents afin d</w:t>
      </w:r>
      <w:r w:rsidR="009C36DE">
        <w:rPr>
          <w:lang w:val="fr-FR"/>
        </w:rPr>
        <w:t>’</w:t>
      </w:r>
      <w:r>
        <w:rPr>
          <w:lang w:val="fr-FR"/>
        </w:rPr>
        <w:t>obtenir la mutation de la destination urbanistique de son immeuble.</w:t>
      </w:r>
    </w:p>
    <w:p w:rsidR="00164CEE" w:rsidRPr="0072720E" w:rsidRDefault="00164CEE" w:rsidP="00C21462">
      <w:pPr>
        <w:pStyle w:val="ECHRPara"/>
        <w:rPr>
          <w:lang w:val="fr-FR"/>
        </w:rPr>
      </w:pPr>
      <w:r>
        <w:rPr>
          <w:lang w:val="fr-FR"/>
        </w:rPr>
        <w:t>28.  La Cour de cassation nota également que la quatrième requérante reprochait au ministre de ne pas avoir fait usage du pouvoir, qui lui était conféré par l</w:t>
      </w:r>
      <w:r w:rsidR="009C36DE">
        <w:rPr>
          <w:lang w:val="fr-FR"/>
        </w:rPr>
        <w:t>’</w:t>
      </w:r>
      <w:r>
        <w:rPr>
          <w:lang w:val="fr-FR"/>
        </w:rPr>
        <w:t>article 81 du décret présidentiel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616 du 24 juillet 1977, de demander au Conseil des Ministres d</w:t>
      </w:r>
      <w:r w:rsidR="009C36DE">
        <w:rPr>
          <w:lang w:val="fr-FR"/>
        </w:rPr>
        <w:t>’</w:t>
      </w:r>
      <w:r>
        <w:rPr>
          <w:lang w:val="fr-FR"/>
        </w:rPr>
        <w:t>adopter la mutation urbanistique litigieuse. Cependant, le ministre n</w:t>
      </w:r>
      <w:r w:rsidR="009C36DE">
        <w:rPr>
          <w:lang w:val="fr-FR"/>
        </w:rPr>
        <w:t>’</w:t>
      </w:r>
      <w:r>
        <w:rPr>
          <w:lang w:val="fr-FR"/>
        </w:rPr>
        <w:t>avait pas l</w:t>
      </w:r>
      <w:r w:rsidR="009C36DE">
        <w:rPr>
          <w:lang w:val="fr-FR"/>
        </w:rPr>
        <w:t>’</w:t>
      </w:r>
      <w:r>
        <w:rPr>
          <w:lang w:val="fr-FR"/>
        </w:rPr>
        <w:t>obligation de se servir de cette faculté, et la quatrième requérante n</w:t>
      </w:r>
      <w:r w:rsidR="009C36DE">
        <w:rPr>
          <w:lang w:val="fr-FR"/>
        </w:rPr>
        <w:t>’</w:t>
      </w:r>
      <w:r>
        <w:rPr>
          <w:lang w:val="fr-FR"/>
        </w:rPr>
        <w:t>avait pas démontré l</w:t>
      </w:r>
      <w:r w:rsidR="009C36DE">
        <w:rPr>
          <w:lang w:val="fr-FR"/>
        </w:rPr>
        <w:t>’</w:t>
      </w:r>
      <w:r>
        <w:rPr>
          <w:lang w:val="fr-FR"/>
        </w:rPr>
        <w:t>existence d</w:t>
      </w:r>
      <w:r w:rsidR="009C36DE">
        <w:rPr>
          <w:lang w:val="fr-FR"/>
        </w:rPr>
        <w:t>’</w:t>
      </w:r>
      <w:r>
        <w:rPr>
          <w:lang w:val="fr-FR"/>
        </w:rPr>
        <w:t>un intérêt étatique prédominant qui aurait imposé d</w:t>
      </w:r>
      <w:r w:rsidR="009C36DE">
        <w:rPr>
          <w:lang w:val="fr-FR"/>
        </w:rPr>
        <w:t>’</w:t>
      </w:r>
      <w:r>
        <w:rPr>
          <w:lang w:val="fr-FR"/>
        </w:rPr>
        <w:t>agir de la sorte.</w:t>
      </w:r>
    </w:p>
    <w:p w:rsidR="00164CEE" w:rsidRPr="0072720E" w:rsidRDefault="00164CEE" w:rsidP="00C21462">
      <w:pPr>
        <w:pStyle w:val="ECHRHeading2"/>
        <w:rPr>
          <w:lang w:val="fr-FR"/>
        </w:rPr>
      </w:pPr>
      <w:r w:rsidRPr="0072720E">
        <w:rPr>
          <w:lang w:val="fr-FR"/>
        </w:rPr>
        <w:t>B.  Le droit interne pertinent</w:t>
      </w:r>
    </w:p>
    <w:p w:rsidR="00164CEE" w:rsidRDefault="00164CEE" w:rsidP="00C21462">
      <w:pPr>
        <w:pStyle w:val="ECHRPara"/>
        <w:rPr>
          <w:lang w:val="fr-FR"/>
        </w:rPr>
      </w:pPr>
      <w:bookmarkStart w:id="8" w:name="articolo19regiodecreto"/>
      <w:r>
        <w:rPr>
          <w:lang w:val="fr-FR"/>
        </w:rPr>
        <w:t>29</w:t>
      </w:r>
      <w:bookmarkEnd w:id="8"/>
      <w:r>
        <w:rPr>
          <w:lang w:val="fr-FR"/>
        </w:rPr>
        <w:t>.  Dans ses parties pertinentes, l</w:t>
      </w:r>
      <w:r w:rsidR="009C36DE">
        <w:rPr>
          <w:lang w:val="fr-FR"/>
        </w:rPr>
        <w:t>’</w:t>
      </w:r>
      <w:r>
        <w:rPr>
          <w:lang w:val="fr-FR"/>
        </w:rPr>
        <w:t>article 19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2440 de 1923 se lit comme suit :</w:t>
      </w:r>
    </w:p>
    <w:p w:rsidR="00164CEE" w:rsidRDefault="00164CEE" w:rsidP="00C21462">
      <w:pPr>
        <w:pStyle w:val="ECHRParaQuote"/>
        <w:rPr>
          <w:lang w:val="fr-FR"/>
        </w:rPr>
      </w:pPr>
      <w:r>
        <w:rPr>
          <w:lang w:val="fr-FR"/>
        </w:rPr>
        <w:t>« 1.  Les actes d</w:t>
      </w:r>
      <w:r w:rsidR="009C36DE">
        <w:rPr>
          <w:lang w:val="fr-FR"/>
        </w:rPr>
        <w:t>’</w:t>
      </w:r>
      <w:r>
        <w:rPr>
          <w:lang w:val="fr-FR"/>
        </w:rPr>
        <w:t>adjudication définitive et les contrats, même si stipulés par correspondance (...), ne sont obligatoires pour l</w:t>
      </w:r>
      <w:r w:rsidR="009C36DE">
        <w:rPr>
          <w:lang w:val="fr-FR"/>
        </w:rPr>
        <w:t>’</w:t>
      </w:r>
      <w:r>
        <w:rPr>
          <w:lang w:val="fr-FR"/>
        </w:rPr>
        <w:t>administration que lorsqu</w:t>
      </w:r>
      <w:r w:rsidR="009C36DE">
        <w:rPr>
          <w:lang w:val="fr-FR"/>
        </w:rPr>
        <w:t>’</w:t>
      </w:r>
      <w:r>
        <w:rPr>
          <w:lang w:val="fr-FR"/>
        </w:rPr>
        <w:t>ils ont été approuvés par le ministre ou par l</w:t>
      </w:r>
      <w:r w:rsidR="009C36DE">
        <w:rPr>
          <w:lang w:val="fr-FR"/>
        </w:rPr>
        <w:t>’</w:t>
      </w:r>
      <w:r>
        <w:rPr>
          <w:lang w:val="fr-FR"/>
        </w:rPr>
        <w:t xml:space="preserve">officier public délégué </w:t>
      </w:r>
      <w:r>
        <w:rPr>
          <w:i/>
          <w:lang w:val="fr-FR"/>
        </w:rPr>
        <w:t>ad hoc</w:t>
      </w:r>
      <w:r>
        <w:rPr>
          <w:lang w:val="fr-FR"/>
        </w:rPr>
        <w:t xml:space="preserve"> et ne peuvent être exécutés (</w:t>
      </w:r>
      <w:r>
        <w:rPr>
          <w:i/>
          <w:lang w:val="fr-FR"/>
        </w:rPr>
        <w:t>non sono eseguibili</w:t>
      </w:r>
      <w:r>
        <w:rPr>
          <w:lang w:val="fr-FR"/>
        </w:rPr>
        <w:t>) qu</w:t>
      </w:r>
      <w:r w:rsidR="009C36DE">
        <w:rPr>
          <w:lang w:val="fr-FR"/>
        </w:rPr>
        <w:t>’</w:t>
      </w:r>
      <w:r>
        <w:rPr>
          <w:lang w:val="fr-FR"/>
        </w:rPr>
        <w:t>après l</w:t>
      </w:r>
      <w:r w:rsidR="009C36DE">
        <w:rPr>
          <w:lang w:val="fr-FR"/>
        </w:rPr>
        <w:t>’</w:t>
      </w:r>
      <w:r>
        <w:rPr>
          <w:lang w:val="fr-FR"/>
        </w:rPr>
        <w:t>approbation.</w:t>
      </w:r>
    </w:p>
    <w:p w:rsidR="00164CEE" w:rsidRDefault="00164CEE" w:rsidP="00C21462">
      <w:pPr>
        <w:pStyle w:val="ECHRParaQuote"/>
        <w:rPr>
          <w:lang w:val="fr-FR"/>
        </w:rPr>
      </w:pPr>
      <w:r>
        <w:rPr>
          <w:lang w:val="fr-FR"/>
        </w:rPr>
        <w:t>2.  L</w:t>
      </w:r>
      <w:r w:rsidR="009C36DE">
        <w:rPr>
          <w:lang w:val="fr-FR"/>
        </w:rPr>
        <w:t>’</w:t>
      </w:r>
      <w:r>
        <w:rPr>
          <w:lang w:val="fr-FR"/>
        </w:rPr>
        <w:t>approbation des contrats pour lesquels est nécessaire l</w:t>
      </w:r>
      <w:r w:rsidR="009C36DE">
        <w:rPr>
          <w:lang w:val="fr-FR"/>
        </w:rPr>
        <w:t>’</w:t>
      </w:r>
      <w:r>
        <w:rPr>
          <w:lang w:val="fr-FR"/>
        </w:rPr>
        <w:t>avis du Conseil d</w:t>
      </w:r>
      <w:r w:rsidR="009C36DE">
        <w:rPr>
          <w:lang w:val="fr-FR"/>
        </w:rPr>
        <w:t>’</w:t>
      </w:r>
      <w:r>
        <w:rPr>
          <w:lang w:val="fr-FR"/>
        </w:rPr>
        <w:t>État doit être donnée par décret ministériel. (..). »</w:t>
      </w:r>
    </w:p>
    <w:p w:rsidR="00164CEE" w:rsidRDefault="00164CEE" w:rsidP="00C21462">
      <w:pPr>
        <w:pStyle w:val="ECHRPara"/>
        <w:rPr>
          <w:lang w:val="fr-FR"/>
        </w:rPr>
      </w:pPr>
      <w:bookmarkStart w:id="9" w:name="articolo113dr1924"/>
      <w:r>
        <w:rPr>
          <w:lang w:val="fr-FR"/>
        </w:rPr>
        <w:t>30</w:t>
      </w:r>
      <w:bookmarkEnd w:id="9"/>
      <w:r>
        <w:rPr>
          <w:lang w:val="fr-FR"/>
        </w:rPr>
        <w:t>.  Aux termes de l</w:t>
      </w:r>
      <w:r w:rsidR="009C36DE">
        <w:rPr>
          <w:lang w:val="fr-FR"/>
        </w:rPr>
        <w:t>’</w:t>
      </w:r>
      <w:r>
        <w:rPr>
          <w:lang w:val="fr-FR"/>
        </w:rPr>
        <w:t>article 113 § 1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826 du 23 mai 1924,</w:t>
      </w:r>
    </w:p>
    <w:p w:rsidR="00164CEE" w:rsidRPr="0072720E" w:rsidRDefault="00164CEE" w:rsidP="00C21462">
      <w:pPr>
        <w:pStyle w:val="ECHRParaQuote"/>
        <w:rPr>
          <w:lang w:val="fr-FR"/>
        </w:rPr>
      </w:pPr>
      <w:r>
        <w:rPr>
          <w:lang w:val="fr-FR"/>
        </w:rPr>
        <w:t>« Pour des graves motifs d</w:t>
      </w:r>
      <w:r w:rsidR="009C36DE">
        <w:rPr>
          <w:lang w:val="fr-FR"/>
        </w:rPr>
        <w:t>’</w:t>
      </w:r>
      <w:r>
        <w:rPr>
          <w:lang w:val="fr-FR"/>
        </w:rPr>
        <w:t>intérêt public ou étatique, le ministre ou l</w:t>
      </w:r>
      <w:r w:rsidR="009C36DE">
        <w:rPr>
          <w:lang w:val="fr-FR"/>
        </w:rPr>
        <w:t>’</w:t>
      </w:r>
      <w:r>
        <w:rPr>
          <w:lang w:val="fr-FR"/>
        </w:rPr>
        <w:t>autorité déléguée pour l</w:t>
      </w:r>
      <w:r w:rsidR="009C36DE">
        <w:rPr>
          <w:lang w:val="fr-FR"/>
        </w:rPr>
        <w:t>’</w:t>
      </w:r>
      <w:r>
        <w:rPr>
          <w:lang w:val="fr-FR"/>
        </w:rPr>
        <w:t>approbation peut refuser l</w:t>
      </w:r>
      <w:r w:rsidR="009C36DE">
        <w:rPr>
          <w:lang w:val="fr-FR"/>
        </w:rPr>
        <w:t>’</w:t>
      </w:r>
      <w:r>
        <w:rPr>
          <w:lang w:val="fr-FR"/>
        </w:rPr>
        <w:t>approbation des contrats même si reconnus comme étant réguliers. »</w:t>
      </w:r>
    </w:p>
    <w:p w:rsidR="00164CEE" w:rsidRPr="0072720E" w:rsidRDefault="00164CEE" w:rsidP="00C21462">
      <w:pPr>
        <w:pStyle w:val="ECHRTitle1"/>
        <w:rPr>
          <w:lang w:val="fr-FR"/>
        </w:rPr>
      </w:pPr>
      <w:r w:rsidRPr="0072720E">
        <w:rPr>
          <w:lang w:val="fr-FR"/>
        </w:rPr>
        <w:t>GRIEF</w:t>
      </w:r>
    </w:p>
    <w:p w:rsidR="00164CEE" w:rsidRPr="0072720E" w:rsidRDefault="00164CEE" w:rsidP="00C21462">
      <w:pPr>
        <w:pStyle w:val="ECHRPara"/>
        <w:rPr>
          <w:lang w:val="fr-FR"/>
        </w:rPr>
      </w:pPr>
      <w:r>
        <w:rPr>
          <w:lang w:val="fr-FR"/>
        </w:rPr>
        <w:t>31.  </w:t>
      </w:r>
      <w:r w:rsidRPr="00C533A8">
        <w:rPr>
          <w:lang w:val="fr-FR"/>
        </w:rPr>
        <w:t>Invoquant l</w:t>
      </w:r>
      <w:r w:rsidR="009C36DE">
        <w:rPr>
          <w:lang w:val="fr-FR"/>
        </w:rPr>
        <w:t>’</w:t>
      </w:r>
      <w:r w:rsidRPr="00C533A8">
        <w:rPr>
          <w:lang w:val="fr-FR"/>
        </w:rPr>
        <w:t xml:space="preserve">article </w:t>
      </w:r>
      <w:r>
        <w:rPr>
          <w:lang w:val="fr-FR"/>
        </w:rPr>
        <w:t>1 du Protocole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1 à</w:t>
      </w:r>
      <w:r w:rsidRPr="00C533A8">
        <w:rPr>
          <w:lang w:val="fr-FR"/>
        </w:rPr>
        <w:t xml:space="preserve"> de la Convention, les requérants se plaignent </w:t>
      </w:r>
      <w:r>
        <w:rPr>
          <w:lang w:val="fr-FR"/>
        </w:rPr>
        <w:t>de la non-approbation du contrat de vente.</w:t>
      </w:r>
    </w:p>
    <w:p w:rsidR="00164CEE" w:rsidRPr="0072720E" w:rsidRDefault="00164CEE" w:rsidP="00C21462">
      <w:pPr>
        <w:pStyle w:val="ECHRTitle1"/>
        <w:rPr>
          <w:lang w:val="fr-FR"/>
        </w:rPr>
      </w:pPr>
      <w:r w:rsidRPr="0072720E">
        <w:rPr>
          <w:lang w:val="fr-FR"/>
        </w:rPr>
        <w:t>EN DROIT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32.  Les requérants considèrent que le refus, par le ministre, d</w:t>
      </w:r>
      <w:r w:rsidR="009C36DE">
        <w:rPr>
          <w:lang w:val="fr-FR"/>
        </w:rPr>
        <w:t>’</w:t>
      </w:r>
      <w:r>
        <w:rPr>
          <w:lang w:val="fr-FR"/>
        </w:rPr>
        <w:t>approuver le contrat de vente a porté atteinte à leur droit au respect de leurs biens, tels que garanti par l</w:t>
      </w:r>
      <w:r w:rsidR="009C36DE">
        <w:rPr>
          <w:lang w:val="fr-FR"/>
        </w:rPr>
        <w:t>’</w:t>
      </w:r>
      <w:r>
        <w:rPr>
          <w:lang w:val="fr-FR"/>
        </w:rPr>
        <w:t>article 1 du Protocole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1 à la Convention.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Cette disposition est ainsi libellée :</w:t>
      </w:r>
    </w:p>
    <w:p w:rsidR="00164CEE" w:rsidRPr="00170967" w:rsidRDefault="00164CEE" w:rsidP="00C21462">
      <w:pPr>
        <w:pStyle w:val="ECHRParaQuote"/>
        <w:rPr>
          <w:lang w:val="fr-FR"/>
        </w:rPr>
      </w:pPr>
      <w:r w:rsidRPr="00170967">
        <w:rPr>
          <w:lang w:val="fr-FR"/>
        </w:rPr>
        <w:t>« Toute personne physique ou morale a droit au respect de ses biens. Nul ne peut être privé de sa propriété que pour cause d</w:t>
      </w:r>
      <w:r w:rsidR="009C36DE">
        <w:rPr>
          <w:lang w:val="fr-FR"/>
        </w:rPr>
        <w:t>’</w:t>
      </w:r>
      <w:r w:rsidRPr="00170967">
        <w:rPr>
          <w:lang w:val="fr-FR"/>
        </w:rPr>
        <w:t>utilité publique et dans les conditions prévues par la loi et les principes généraux du droit international.</w:t>
      </w:r>
    </w:p>
    <w:p w:rsidR="00164CEE" w:rsidRPr="00170967" w:rsidRDefault="00164CEE" w:rsidP="00C21462">
      <w:pPr>
        <w:pStyle w:val="ECHRParaQuote"/>
        <w:rPr>
          <w:lang w:val="fr-FR"/>
        </w:rPr>
      </w:pPr>
      <w:r w:rsidRPr="00170967">
        <w:rPr>
          <w:lang w:val="fr-FR"/>
        </w:rPr>
        <w:t>Les dispositions précédentes ne portent pas atteinte au droit que possèdent les Etats de mettre en vigueur les lois qu</w:t>
      </w:r>
      <w:r w:rsidR="009C36DE">
        <w:rPr>
          <w:lang w:val="fr-FR"/>
        </w:rPr>
        <w:t>’</w:t>
      </w:r>
      <w:r w:rsidRPr="00170967">
        <w:rPr>
          <w:lang w:val="fr-FR"/>
        </w:rPr>
        <w:t>ils jugent nécessaires pour réglementer l</w:t>
      </w:r>
      <w:r w:rsidR="009C36DE">
        <w:rPr>
          <w:lang w:val="fr-FR"/>
        </w:rPr>
        <w:t>’</w:t>
      </w:r>
      <w:r w:rsidRPr="00170967">
        <w:rPr>
          <w:lang w:val="fr-FR"/>
        </w:rPr>
        <w:t>usage des biens conformément à l</w:t>
      </w:r>
      <w:r w:rsidR="009C36DE">
        <w:rPr>
          <w:lang w:val="fr-FR"/>
        </w:rPr>
        <w:t>’</w:t>
      </w:r>
      <w:r w:rsidRPr="00170967">
        <w:rPr>
          <w:lang w:val="fr-FR"/>
        </w:rPr>
        <w:t>intérêt général ou pour assurer le paiement des impôts ou d</w:t>
      </w:r>
      <w:r w:rsidR="009C36DE">
        <w:rPr>
          <w:lang w:val="fr-FR"/>
        </w:rPr>
        <w:t>’</w:t>
      </w:r>
      <w:r w:rsidRPr="00170967">
        <w:rPr>
          <w:lang w:val="fr-FR"/>
        </w:rPr>
        <w:t>autres contributions ou des amendes. »</w:t>
      </w:r>
    </w:p>
    <w:p w:rsidR="00164CEE" w:rsidRDefault="00164CEE" w:rsidP="00C21462">
      <w:pPr>
        <w:pStyle w:val="ECHRPara"/>
        <w:rPr>
          <w:rFonts w:cstheme="minorHAnsi"/>
          <w:lang w:val="fr-FR"/>
        </w:rPr>
      </w:pPr>
      <w:r>
        <w:rPr>
          <w:lang w:val="fr-FR"/>
        </w:rPr>
        <w:t>33.  Les requérants affirment être titulaires d</w:t>
      </w:r>
      <w:r w:rsidR="009C36DE">
        <w:rPr>
          <w:lang w:val="fr-FR"/>
        </w:rPr>
        <w:t>’</w:t>
      </w:r>
      <w:r>
        <w:rPr>
          <w:lang w:val="fr-FR"/>
        </w:rPr>
        <w:t>un intérêt patrimonial, et donc d</w:t>
      </w:r>
      <w:r w:rsidR="009C36DE">
        <w:rPr>
          <w:lang w:val="fr-FR"/>
        </w:rPr>
        <w:t>’</w:t>
      </w:r>
      <w:r>
        <w:rPr>
          <w:lang w:val="fr-FR"/>
        </w:rPr>
        <w:t xml:space="preserve">un « bien » aux termes de la disposition en question. </w:t>
      </w:r>
      <w:r>
        <w:rPr>
          <w:rFonts w:cstheme="minorHAnsi"/>
          <w:lang w:val="fr-FR"/>
        </w:rPr>
        <w:t>À cet égard, ils notent que les trois premiers requérants étaient les seuls associés de la société O.R., qui avait stipulé le contrat de vente avec l</w:t>
      </w:r>
      <w:r w:rsidR="009C36DE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administration des postes, et que la quatrième requérante, en tant que successeur légal de la société O.R., est devenue titulaire de la créance de cette dernière envers ladite administration.</w:t>
      </w:r>
    </w:p>
    <w:p w:rsidR="00164CEE" w:rsidRPr="00A961DE" w:rsidRDefault="00164CEE" w:rsidP="00C21462">
      <w:pPr>
        <w:pStyle w:val="ECHRPara"/>
        <w:rPr>
          <w:lang w:val="fr-FR"/>
        </w:rPr>
      </w:pPr>
      <w:r>
        <w:rPr>
          <w:lang w:val="fr-FR"/>
        </w:rPr>
        <w:t>34.  Les requérants considèrent qu</w:t>
      </w:r>
      <w:r w:rsidR="009C36DE">
        <w:rPr>
          <w:lang w:val="fr-FR"/>
        </w:rPr>
        <w:t>’</w:t>
      </w:r>
      <w:r>
        <w:rPr>
          <w:lang w:val="fr-FR"/>
        </w:rPr>
        <w:t>en l</w:t>
      </w:r>
      <w:r w:rsidR="009C36DE">
        <w:rPr>
          <w:lang w:val="fr-FR"/>
        </w:rPr>
        <w:t>’</w:t>
      </w:r>
      <w:r>
        <w:rPr>
          <w:lang w:val="fr-FR"/>
        </w:rPr>
        <w:t>espèce l</w:t>
      </w:r>
      <w:r w:rsidR="009C36DE">
        <w:rPr>
          <w:lang w:val="fr-FR"/>
        </w:rPr>
        <w:t>’</w:t>
      </w:r>
      <w:r>
        <w:rPr>
          <w:lang w:val="fr-FR"/>
        </w:rPr>
        <w:t>application de l</w:t>
      </w:r>
      <w:r w:rsidR="009C36DE">
        <w:rPr>
          <w:lang w:val="fr-FR"/>
        </w:rPr>
        <w:t>’</w:t>
      </w:r>
      <w:r>
        <w:rPr>
          <w:lang w:val="fr-FR"/>
        </w:rPr>
        <w:t>article 19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2440 de 1923 s</w:t>
      </w:r>
      <w:r w:rsidR="009C36DE">
        <w:rPr>
          <w:lang w:val="fr-FR"/>
        </w:rPr>
        <w:t>’</w:t>
      </w:r>
      <w:r>
        <w:rPr>
          <w:lang w:val="fr-FR"/>
        </w:rPr>
        <w:t>analyse en une ingérence disproportionnée dans leur droit au respect de leurs biens. Ils observent que tout particulier est lié par un contrat dès sa signature, alors que l</w:t>
      </w:r>
      <w:r w:rsidR="009C36DE">
        <w:rPr>
          <w:lang w:val="fr-FR"/>
        </w:rPr>
        <w:t>’</w:t>
      </w:r>
      <w:r>
        <w:rPr>
          <w:lang w:val="fr-FR"/>
        </w:rPr>
        <w:t>administration n</w:t>
      </w:r>
      <w:r w:rsidR="009C36DE">
        <w:rPr>
          <w:lang w:val="fr-FR"/>
        </w:rPr>
        <w:t>’</w:t>
      </w:r>
      <w:r>
        <w:rPr>
          <w:lang w:val="fr-FR"/>
        </w:rPr>
        <w:t>y est liée qu</w:t>
      </w:r>
      <w:r w:rsidR="009C36DE">
        <w:rPr>
          <w:lang w:val="fr-FR"/>
        </w:rPr>
        <w:t>’</w:t>
      </w:r>
      <w:r>
        <w:rPr>
          <w:lang w:val="fr-FR"/>
        </w:rPr>
        <w:t>après l</w:t>
      </w:r>
      <w:r w:rsidR="009C36DE">
        <w:rPr>
          <w:lang w:val="fr-FR"/>
        </w:rPr>
        <w:t>’</w:t>
      </w:r>
      <w:r>
        <w:rPr>
          <w:lang w:val="fr-FR"/>
        </w:rPr>
        <w:t>approbation du contrat par le ministre compétent ou son délégué. L</w:t>
      </w:r>
      <w:r w:rsidR="009C36DE">
        <w:rPr>
          <w:lang w:val="fr-FR"/>
        </w:rPr>
        <w:t>’</w:t>
      </w:r>
      <w:r>
        <w:rPr>
          <w:lang w:val="fr-FR"/>
        </w:rPr>
        <w:t>article 19 précité ne garantirait aucune protection du particulier face au comportement arbitraire de l</w:t>
      </w:r>
      <w:r w:rsidR="009C36DE">
        <w:rPr>
          <w:lang w:val="fr-FR"/>
        </w:rPr>
        <w:t>’</w:t>
      </w:r>
      <w:r>
        <w:rPr>
          <w:lang w:val="fr-FR"/>
        </w:rPr>
        <w:t>administration. Or, la Cour a eu l</w:t>
      </w:r>
      <w:r w:rsidR="009C36DE">
        <w:rPr>
          <w:lang w:val="fr-FR"/>
        </w:rPr>
        <w:t>’</w:t>
      </w:r>
      <w:r>
        <w:rPr>
          <w:lang w:val="fr-FR"/>
        </w:rPr>
        <w:t xml:space="preserve">occasion de préciser que </w:t>
      </w:r>
      <w:r w:rsidRPr="00A961DE">
        <w:rPr>
          <w:rStyle w:val="sb8d990e2"/>
          <w:lang w:val="fr-FR"/>
        </w:rPr>
        <w:t>le droit interne doit offrir une certaine protection contre des atteintes arbitraires de la puissance publique aux droits garantis par la Convention</w:t>
      </w:r>
      <w:r>
        <w:rPr>
          <w:rStyle w:val="sb8d990e2"/>
          <w:lang w:val="fr-FR"/>
        </w:rPr>
        <w:t xml:space="preserve"> et que</w:t>
      </w:r>
      <w:r w:rsidRPr="00A961DE">
        <w:rPr>
          <w:rStyle w:val="sb8d990e2"/>
          <w:lang w:val="fr-FR"/>
        </w:rPr>
        <w:t xml:space="preserve"> la loi irait à l</w:t>
      </w:r>
      <w:r w:rsidR="009C36DE">
        <w:rPr>
          <w:rStyle w:val="sb8d990e2"/>
          <w:lang w:val="fr-FR"/>
        </w:rPr>
        <w:t>’</w:t>
      </w:r>
      <w:r w:rsidRPr="00A961DE">
        <w:rPr>
          <w:rStyle w:val="sb8d990e2"/>
          <w:lang w:val="fr-FR"/>
        </w:rPr>
        <w:t>encontre de la prééminence du droit si le pouvoir d</w:t>
      </w:r>
      <w:r w:rsidR="009C36DE">
        <w:rPr>
          <w:rStyle w:val="sb8d990e2"/>
          <w:lang w:val="fr-FR"/>
        </w:rPr>
        <w:t>’</w:t>
      </w:r>
      <w:r w:rsidRPr="00A961DE">
        <w:rPr>
          <w:rStyle w:val="sb8d990e2"/>
          <w:lang w:val="fr-FR"/>
        </w:rPr>
        <w:t>appréciation accordé à l</w:t>
      </w:r>
      <w:r w:rsidR="009C36DE">
        <w:rPr>
          <w:rStyle w:val="sb8d990e2"/>
          <w:lang w:val="fr-FR"/>
        </w:rPr>
        <w:t>’</w:t>
      </w:r>
      <w:r w:rsidRPr="00A961DE">
        <w:rPr>
          <w:rStyle w:val="sb8d990e2"/>
          <w:lang w:val="fr-FR"/>
        </w:rPr>
        <w:t>exécutif ne connaissait pas de limite. En conséquence, elle doit définir l</w:t>
      </w:r>
      <w:r w:rsidR="009C36DE">
        <w:rPr>
          <w:rStyle w:val="sb8d990e2"/>
          <w:lang w:val="fr-FR"/>
        </w:rPr>
        <w:t>’</w:t>
      </w:r>
      <w:r w:rsidRPr="00A961DE">
        <w:rPr>
          <w:rStyle w:val="sb8d990e2"/>
          <w:lang w:val="fr-FR"/>
        </w:rPr>
        <w:t>étendue et les modalités d</w:t>
      </w:r>
      <w:r w:rsidR="009C36DE">
        <w:rPr>
          <w:rStyle w:val="sb8d990e2"/>
          <w:lang w:val="fr-FR"/>
        </w:rPr>
        <w:t>’</w:t>
      </w:r>
      <w:r w:rsidRPr="00A961DE">
        <w:rPr>
          <w:rStyle w:val="sb8d990e2"/>
          <w:lang w:val="fr-FR"/>
        </w:rPr>
        <w:t>exercice d</w:t>
      </w:r>
      <w:r w:rsidR="009C36DE">
        <w:rPr>
          <w:rStyle w:val="sb8d990e2"/>
          <w:lang w:val="fr-FR"/>
        </w:rPr>
        <w:t>’</w:t>
      </w:r>
      <w:r w:rsidRPr="00A961DE">
        <w:rPr>
          <w:rStyle w:val="sb8d990e2"/>
          <w:lang w:val="fr-FR"/>
        </w:rPr>
        <w:t>un tel pouvoir avec une netteté suffisante</w:t>
      </w:r>
      <w:r>
        <w:rPr>
          <w:rStyle w:val="sb8d990e2"/>
          <w:lang w:val="fr-FR"/>
        </w:rPr>
        <w:t xml:space="preserve"> (les requérants citent, à cet égard, </w:t>
      </w:r>
      <w:r>
        <w:rPr>
          <w:i/>
          <w:lang w:val="fr-FR"/>
        </w:rPr>
        <w:t>Zlinsat, Spol S r.o. c. Bulgarie</w:t>
      </w:r>
      <w:r>
        <w:rPr>
          <w:lang w:val="fr-FR"/>
        </w:rPr>
        <w:t>,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57785/00, § 98, 15 juin 2006).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35.  Selon les requérants, le refus d</w:t>
      </w:r>
      <w:r w:rsidR="009C36DE">
        <w:rPr>
          <w:lang w:val="fr-FR"/>
        </w:rPr>
        <w:t>’</w:t>
      </w:r>
      <w:r>
        <w:rPr>
          <w:lang w:val="fr-FR"/>
        </w:rPr>
        <w:t>approuver le contrat ne poursuivait aucun but légitime : il a été décidé avant l</w:t>
      </w:r>
      <w:r w:rsidR="009C36DE">
        <w:rPr>
          <w:lang w:val="fr-FR"/>
        </w:rPr>
        <w:t>’</w:t>
      </w:r>
      <w:r>
        <w:rPr>
          <w:lang w:val="fr-FR"/>
        </w:rPr>
        <w:t>expiration du délai fixé pour l</w:t>
      </w:r>
      <w:r w:rsidR="009C36DE">
        <w:rPr>
          <w:lang w:val="fr-FR"/>
        </w:rPr>
        <w:t>’</w:t>
      </w:r>
      <w:r>
        <w:rPr>
          <w:lang w:val="fr-FR"/>
        </w:rPr>
        <w:t>obtention de la mutation de destination de l</w:t>
      </w:r>
      <w:r w:rsidR="009C36DE">
        <w:rPr>
          <w:lang w:val="fr-FR"/>
        </w:rPr>
        <w:t>’</w:t>
      </w:r>
      <w:r>
        <w:rPr>
          <w:lang w:val="fr-FR"/>
        </w:rPr>
        <w:t>aire et en dépit des avis favorables exprimés par les organes administratifs compétents. Seules des considérations de caractère politique auraient poussé le ministre à refuser son accord.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36.  Les requérants soulignent enfin que la société O.R. avait en bonne foi confié que l</w:t>
      </w:r>
      <w:r w:rsidR="009C36DE">
        <w:rPr>
          <w:lang w:val="fr-FR"/>
        </w:rPr>
        <w:t>’</w:t>
      </w:r>
      <w:r>
        <w:rPr>
          <w:lang w:val="fr-FR"/>
        </w:rPr>
        <w:t>administration aurait honoré ses engagements, l</w:t>
      </w:r>
      <w:r w:rsidR="009C36DE">
        <w:rPr>
          <w:lang w:val="fr-FR"/>
        </w:rPr>
        <w:t>’</w:t>
      </w:r>
      <w:r>
        <w:rPr>
          <w:lang w:val="fr-FR"/>
        </w:rPr>
        <w:t>approbation du contrat paraissant une simple formalité administrative. Seule l</w:t>
      </w:r>
      <w:r w:rsidR="009C36DE">
        <w:rPr>
          <w:lang w:val="fr-FR"/>
        </w:rPr>
        <w:t>’</w:t>
      </w:r>
      <w:r>
        <w:rPr>
          <w:lang w:val="fr-FR"/>
        </w:rPr>
        <w:t>exécution du contrat aurait permis à la société O.R. de couvrir les frais exposés pour les œuvres sollicitées par l</w:t>
      </w:r>
      <w:r w:rsidR="009C36DE">
        <w:rPr>
          <w:lang w:val="fr-FR"/>
        </w:rPr>
        <w:t>’</w:t>
      </w:r>
      <w:r>
        <w:rPr>
          <w:lang w:val="fr-FR"/>
        </w:rPr>
        <w:t>administration. Le fait qu</w:t>
      </w:r>
      <w:r w:rsidR="009C36DE">
        <w:rPr>
          <w:lang w:val="fr-FR"/>
        </w:rPr>
        <w:t>’</w:t>
      </w:r>
      <w:r>
        <w:rPr>
          <w:lang w:val="fr-FR"/>
        </w:rPr>
        <w:t>à la suite du refus d</w:t>
      </w:r>
      <w:r w:rsidR="009C36DE">
        <w:rPr>
          <w:lang w:val="fr-FR"/>
        </w:rPr>
        <w:t>’</w:t>
      </w:r>
      <w:r>
        <w:rPr>
          <w:lang w:val="fr-FR"/>
        </w:rPr>
        <w:t>approuver le contrat, aucune indemnisation n</w:t>
      </w:r>
      <w:r w:rsidR="009C36DE">
        <w:rPr>
          <w:lang w:val="fr-FR"/>
        </w:rPr>
        <w:t>’</w:t>
      </w:r>
      <w:r>
        <w:rPr>
          <w:lang w:val="fr-FR"/>
        </w:rPr>
        <w:t>ait été octroyée à la société O.R. ou à son successeur légal démontrerait que l</w:t>
      </w:r>
      <w:r w:rsidR="009C36DE">
        <w:rPr>
          <w:lang w:val="fr-FR"/>
        </w:rPr>
        <w:t>’</w:t>
      </w:r>
      <w:r>
        <w:rPr>
          <w:lang w:val="fr-FR"/>
        </w:rPr>
        <w:t>État n</w:t>
      </w:r>
      <w:r w:rsidR="009C36DE">
        <w:rPr>
          <w:lang w:val="fr-FR"/>
        </w:rPr>
        <w:t>’</w:t>
      </w:r>
      <w:r>
        <w:rPr>
          <w:lang w:val="fr-FR"/>
        </w:rPr>
        <w:t>a pas ménagé un juste équilibre entre les intérêts publics et privés concurrents.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37.  La Cour note tout d</w:t>
      </w:r>
      <w:r w:rsidR="009C36DE">
        <w:rPr>
          <w:lang w:val="fr-FR"/>
        </w:rPr>
        <w:t>’</w:t>
      </w:r>
      <w:r>
        <w:rPr>
          <w:lang w:val="fr-FR"/>
        </w:rPr>
        <w:t>abord que les trois premier requérants ont introduit leur requête en leur qualité d</w:t>
      </w:r>
      <w:r w:rsidR="009C36DE">
        <w:rPr>
          <w:lang w:val="fr-FR"/>
        </w:rPr>
        <w:t>’</w:t>
      </w:r>
      <w:r>
        <w:rPr>
          <w:lang w:val="fr-FR"/>
        </w:rPr>
        <w:t>associés de la société O.R. et que le 25 novembre 2003, le liquidateur de la faillite de celle-ci a cédé à la quatrième requérante toute créance découlant du contrat de vente stipulé avec l</w:t>
      </w:r>
      <w:r w:rsidR="009C36DE">
        <w:rPr>
          <w:lang w:val="fr-FR"/>
        </w:rPr>
        <w:t>’</w:t>
      </w:r>
      <w:r>
        <w:rPr>
          <w:lang w:val="fr-FR"/>
        </w:rPr>
        <w:t>administration des postes (paragraphe 22 ci-dessus). Dès lors, l</w:t>
      </w:r>
      <w:r w:rsidR="009C36DE">
        <w:rPr>
          <w:lang w:val="fr-FR"/>
        </w:rPr>
        <w:t>’</w:t>
      </w:r>
      <w:r>
        <w:rPr>
          <w:lang w:val="fr-FR"/>
        </w:rPr>
        <w:t>on pourrait soutenir qu</w:t>
      </w:r>
      <w:r w:rsidR="009C36DE">
        <w:rPr>
          <w:lang w:val="fr-FR"/>
        </w:rPr>
        <w:t>’</w:t>
      </w:r>
      <w:r>
        <w:rPr>
          <w:lang w:val="fr-FR"/>
        </w:rPr>
        <w:t>à partir de cette date, la société O.R. et ses associés ont cessé d</w:t>
      </w:r>
      <w:r w:rsidR="009C36DE">
        <w:rPr>
          <w:lang w:val="fr-FR"/>
        </w:rPr>
        <w:t>’</w:t>
      </w:r>
      <w:r>
        <w:rPr>
          <w:lang w:val="fr-FR"/>
        </w:rPr>
        <w:t>être « victimes » d</w:t>
      </w:r>
      <w:r w:rsidR="009C36DE">
        <w:rPr>
          <w:lang w:val="fr-FR"/>
        </w:rPr>
        <w:t>’</w:t>
      </w:r>
      <w:r>
        <w:rPr>
          <w:lang w:val="fr-FR"/>
        </w:rPr>
        <w:t>une atteinte alléguée à leur droit de propriété par rapport à la conduite des autorités relative au contrat en question. Par ailleurs, en 2007, la société O.R. a été transformée en une nouvelle société, dont les trois premiers requérants ont par la suite cédé les quotes-parts (paragraphe 25 ci-dessus).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38.  Il convient également de noter que dans son jugement du 7 novembre 2000, le tribunal de Rome a précisé que si elle souhaitait contester la décision du ministre et l</w:t>
      </w:r>
      <w:r w:rsidR="009C36DE">
        <w:rPr>
          <w:lang w:val="fr-FR"/>
        </w:rPr>
        <w:t>’</w:t>
      </w:r>
      <w:r>
        <w:rPr>
          <w:lang w:val="fr-FR"/>
        </w:rPr>
        <w:t>exercice qui y avait été fait du pouvoir discrétionnaire, la société O.R. aurait dû attaquer le décret ministériel du 1</w:t>
      </w:r>
      <w:r w:rsidRPr="00C34135"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> </w:t>
      </w:r>
      <w:r>
        <w:rPr>
          <w:lang w:val="fr-FR"/>
        </w:rPr>
        <w:t>août 1992 devant les juridictions administratives, les juridictions judiciaires n</w:t>
      </w:r>
      <w:r w:rsidR="009C36DE">
        <w:rPr>
          <w:lang w:val="fr-FR"/>
        </w:rPr>
        <w:t>’</w:t>
      </w:r>
      <w:r>
        <w:rPr>
          <w:lang w:val="fr-FR"/>
        </w:rPr>
        <w:t>étaient pas compétentes en la matière (paragraphe 17 ci-dessus). Or, il ne ressort pas du dossier qu</w:t>
      </w:r>
      <w:r w:rsidR="009C36DE">
        <w:rPr>
          <w:lang w:val="fr-FR"/>
        </w:rPr>
        <w:t>’</w:t>
      </w:r>
      <w:r>
        <w:rPr>
          <w:lang w:val="fr-FR"/>
        </w:rPr>
        <w:t>un tel recours administratif ait été introduit par les requérants ou par l</w:t>
      </w:r>
      <w:r w:rsidR="009C36DE">
        <w:rPr>
          <w:lang w:val="fr-FR"/>
        </w:rPr>
        <w:t>’</w:t>
      </w:r>
      <w:r>
        <w:rPr>
          <w:lang w:val="fr-FR"/>
        </w:rPr>
        <w:t>un d</w:t>
      </w:r>
      <w:r w:rsidR="009C36DE">
        <w:rPr>
          <w:lang w:val="fr-FR"/>
        </w:rPr>
        <w:t>’</w:t>
      </w:r>
      <w:r>
        <w:rPr>
          <w:lang w:val="fr-FR"/>
        </w:rPr>
        <w:t>entre eux.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39.  Cependant, dans les circonstances particulières de la présente affaire la Cour n</w:t>
      </w:r>
      <w:r w:rsidR="009C36DE">
        <w:rPr>
          <w:lang w:val="fr-FR"/>
        </w:rPr>
        <w:t>’</w:t>
      </w:r>
      <w:r>
        <w:rPr>
          <w:lang w:val="fr-FR"/>
        </w:rPr>
        <w:t xml:space="preserve">estime pas nécessaire de se pencher sur les questions de savoir si les trois premiers requérants </w:t>
      </w:r>
      <w:r>
        <w:rPr>
          <w:bCs/>
          <w:lang w:val="fr-FR"/>
        </w:rPr>
        <w:t>peuvent se prétendre « victimes » des faits qu</w:t>
      </w:r>
      <w:r w:rsidR="009C36DE">
        <w:rPr>
          <w:bCs/>
          <w:lang w:val="fr-FR"/>
        </w:rPr>
        <w:t>’</w:t>
      </w:r>
      <w:r>
        <w:rPr>
          <w:bCs/>
          <w:lang w:val="fr-FR"/>
        </w:rPr>
        <w:t>ils dénoncent</w:t>
      </w:r>
      <w:r>
        <w:rPr>
          <w:lang w:val="fr-FR"/>
        </w:rPr>
        <w:t xml:space="preserve"> et si les requérants ont épuisé les voies de recours internes, la requête étant de toute manière irrecevable pour les raisons suivantes.</w:t>
      </w:r>
    </w:p>
    <w:p w:rsidR="00164CEE" w:rsidRDefault="00164CEE" w:rsidP="00C21462">
      <w:pPr>
        <w:pStyle w:val="ECHRPara"/>
        <w:rPr>
          <w:rStyle w:val="sb8d990e2"/>
          <w:lang w:val="fr-FR"/>
        </w:rPr>
      </w:pPr>
      <w:r>
        <w:rPr>
          <w:rStyle w:val="sb8d990e2"/>
          <w:lang w:val="fr-FR"/>
        </w:rPr>
        <w:t>40.  S</w:t>
      </w:r>
      <w:r w:rsidRPr="00EC24C6">
        <w:rPr>
          <w:rStyle w:val="sb8d990e2"/>
          <w:lang w:val="fr-FR"/>
        </w:rPr>
        <w:t xml:space="preserve">elon </w:t>
      </w:r>
      <w:r>
        <w:rPr>
          <w:rStyle w:val="sb8d990e2"/>
          <w:lang w:val="fr-FR"/>
        </w:rPr>
        <w:t>l</w:t>
      </w:r>
      <w:r w:rsidRPr="00EC24C6">
        <w:rPr>
          <w:rStyle w:val="sb8d990e2"/>
          <w:lang w:val="fr-FR"/>
        </w:rPr>
        <w:t>a jurisprudence</w:t>
      </w:r>
      <w:r>
        <w:rPr>
          <w:rStyle w:val="sb8d990e2"/>
          <w:lang w:val="fr-FR"/>
        </w:rPr>
        <w:t xml:space="preserve"> de la Cour</w:t>
      </w:r>
      <w:r w:rsidRPr="00EC24C6">
        <w:rPr>
          <w:rStyle w:val="sb8d990e2"/>
          <w:lang w:val="fr-FR"/>
        </w:rPr>
        <w:t>, un requérant ne peut alléguer une violation de l</w:t>
      </w:r>
      <w:r w:rsidR="009C36DE">
        <w:rPr>
          <w:rStyle w:val="sb8d990e2"/>
          <w:lang w:val="fr-FR"/>
        </w:rPr>
        <w:t>’</w:t>
      </w:r>
      <w:r w:rsidRPr="00EC24C6">
        <w:rPr>
          <w:rStyle w:val="sb8d990e2"/>
          <w:lang w:val="fr-FR"/>
        </w:rPr>
        <w:t>article 1 du Protocole n</w:t>
      </w:r>
      <w:r w:rsidRPr="00164CEE">
        <w:rPr>
          <w:rStyle w:val="sb8d990e2"/>
          <w:vertAlign w:val="superscript"/>
          <w:lang w:val="fr-FR"/>
        </w:rPr>
        <w:t>o</w:t>
      </w:r>
      <w:r w:rsidRPr="00EC24C6">
        <w:rPr>
          <w:rStyle w:val="sb8d990e2"/>
          <w:lang w:val="fr-FR"/>
        </w:rPr>
        <w:t xml:space="preserve"> 1 que dans la mesure où les décisions qu</w:t>
      </w:r>
      <w:r w:rsidR="009C36DE">
        <w:rPr>
          <w:rStyle w:val="sb8d990e2"/>
          <w:lang w:val="fr-FR"/>
        </w:rPr>
        <w:t>’</w:t>
      </w:r>
      <w:r w:rsidRPr="00EC24C6">
        <w:rPr>
          <w:rStyle w:val="sb8d990e2"/>
          <w:lang w:val="fr-FR"/>
        </w:rPr>
        <w:t>il incrimine se rapportent à ses « biens » au sens de cette disposition</w:t>
      </w:r>
      <w:r>
        <w:rPr>
          <w:rStyle w:val="sb8d990e2"/>
          <w:lang w:val="fr-FR"/>
        </w:rPr>
        <w:t>. L</w:t>
      </w:r>
      <w:r w:rsidRPr="0043002C">
        <w:rPr>
          <w:rStyle w:val="sb8d990e2"/>
          <w:lang w:val="fr-FR"/>
        </w:rPr>
        <w:t>a notion de « biens » peut recouvrir tant des «</w:t>
      </w:r>
      <w:r>
        <w:rPr>
          <w:rStyle w:val="sb8d990e2"/>
          <w:lang w:val="fr-FR"/>
        </w:rPr>
        <w:t> </w:t>
      </w:r>
      <w:r w:rsidRPr="0043002C">
        <w:rPr>
          <w:rStyle w:val="sb8d990e2"/>
          <w:lang w:val="fr-FR"/>
        </w:rPr>
        <w:t>biens actuels » que des valeurs patrimoniales, y compris, dans certaines situations bien définies, des créances. Pour qu</w:t>
      </w:r>
      <w:r w:rsidR="009C36DE">
        <w:rPr>
          <w:rStyle w:val="sb8d990e2"/>
          <w:lang w:val="fr-FR"/>
        </w:rPr>
        <w:t>’</w:t>
      </w:r>
      <w:r w:rsidRPr="0043002C">
        <w:rPr>
          <w:rStyle w:val="sb8d990e2"/>
          <w:lang w:val="fr-FR"/>
        </w:rPr>
        <w:t>une créance puisse être considérée comme une « valeur patrimoniale » tombant sous le coup de l</w:t>
      </w:r>
      <w:r w:rsidR="009C36DE">
        <w:rPr>
          <w:rStyle w:val="sb8d990e2"/>
          <w:lang w:val="fr-FR"/>
        </w:rPr>
        <w:t>’</w:t>
      </w:r>
      <w:r w:rsidRPr="0043002C">
        <w:rPr>
          <w:rStyle w:val="sb8d990e2"/>
          <w:lang w:val="fr-FR"/>
        </w:rPr>
        <w:t>article 1 du Protocole n</w:t>
      </w:r>
      <w:r w:rsidRPr="00164CEE">
        <w:rPr>
          <w:rStyle w:val="sb8d990e2"/>
          <w:vertAlign w:val="superscript"/>
          <w:lang w:val="fr-FR"/>
        </w:rPr>
        <w:t>o</w:t>
      </w:r>
      <w:r w:rsidRPr="0043002C">
        <w:rPr>
          <w:rStyle w:val="sb8d990e2"/>
          <w:lang w:val="fr-FR"/>
        </w:rPr>
        <w:t xml:space="preserve"> 1, il faut que le titulaire de la créance démontre que celle-ci a une base suffisante en droit interne, par exemple qu</w:t>
      </w:r>
      <w:r w:rsidR="009C36DE">
        <w:rPr>
          <w:rStyle w:val="sb8d990e2"/>
          <w:lang w:val="fr-FR"/>
        </w:rPr>
        <w:t>’</w:t>
      </w:r>
      <w:r w:rsidRPr="0043002C">
        <w:rPr>
          <w:rStyle w:val="sb8d990e2"/>
          <w:lang w:val="fr-FR"/>
        </w:rPr>
        <w:t xml:space="preserve">elle est confirmée par une jurisprudence bien établie des tribunaux. </w:t>
      </w:r>
      <w:r w:rsidRPr="006E12E7">
        <w:rPr>
          <w:rStyle w:val="sb8d990e2"/>
          <w:lang w:val="fr-FR"/>
        </w:rPr>
        <w:t>Dès lors que cela est acquis, peut entrer en jeu la notion d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« espérance légitime » (</w:t>
      </w:r>
      <w:r w:rsidRPr="006E12E7">
        <w:rPr>
          <w:rStyle w:val="s6b621b36"/>
          <w:i/>
          <w:lang w:val="fr-FR"/>
        </w:rPr>
        <w:t>Maurice c. France</w:t>
      </w:r>
      <w:r w:rsidRPr="006E12E7">
        <w:rPr>
          <w:rStyle w:val="sb8d990e2"/>
          <w:lang w:val="fr-FR"/>
        </w:rPr>
        <w:t xml:space="preserve"> [GC], n</w:t>
      </w:r>
      <w:r w:rsidRPr="00164CEE">
        <w:rPr>
          <w:rStyle w:val="sb8d990e2"/>
          <w:vertAlign w:val="superscript"/>
          <w:lang w:val="fr-FR"/>
        </w:rPr>
        <w:t>o</w:t>
      </w:r>
      <w:r>
        <w:rPr>
          <w:rStyle w:val="sb8d990e2"/>
          <w:lang w:val="fr-FR"/>
        </w:rPr>
        <w:t> </w:t>
      </w:r>
      <w:r w:rsidRPr="006E12E7">
        <w:rPr>
          <w:rStyle w:val="sb8d990e2"/>
          <w:lang w:val="fr-FR"/>
        </w:rPr>
        <w:t>11810/03, §</w:t>
      </w:r>
      <w:r>
        <w:rPr>
          <w:rStyle w:val="sb8d990e2"/>
          <w:lang w:val="fr-FR"/>
        </w:rPr>
        <w:t> </w:t>
      </w:r>
      <w:r w:rsidRPr="006E12E7">
        <w:rPr>
          <w:rStyle w:val="sb8d990e2"/>
          <w:lang w:val="fr-FR"/>
        </w:rPr>
        <w:t>63, CEDH 2005-IX</w:t>
      </w:r>
      <w:r>
        <w:rPr>
          <w:rStyle w:val="sb8d990e2"/>
          <w:lang w:val="fr-FR"/>
        </w:rPr>
        <w:t xml:space="preserve">, et </w:t>
      </w:r>
      <w:r>
        <w:rPr>
          <w:rStyle w:val="sb8d990e2"/>
          <w:i/>
          <w:lang w:val="fr-FR"/>
        </w:rPr>
        <w:t xml:space="preserve">Varesi et autres c. Italie </w:t>
      </w:r>
      <w:r>
        <w:rPr>
          <w:rStyle w:val="sb8d990e2"/>
          <w:lang w:val="fr-FR"/>
        </w:rPr>
        <w:t>(déc.), n</w:t>
      </w:r>
      <w:r w:rsidRPr="00164CEE">
        <w:rPr>
          <w:rStyle w:val="sb8d990e2"/>
          <w:vertAlign w:val="superscript"/>
          <w:lang w:val="fr-FR"/>
        </w:rPr>
        <w:t>o</w:t>
      </w:r>
      <w:r>
        <w:rPr>
          <w:rStyle w:val="sb8d990e2"/>
          <w:lang w:val="fr-FR"/>
        </w:rPr>
        <w:t xml:space="preserve"> 49407/08, § 34, </w:t>
      </w:r>
      <w:r w:rsidRPr="00B81B2D">
        <w:rPr>
          <w:rStyle w:val="sb8d990e2"/>
          <w:lang w:val="fr-FR"/>
        </w:rPr>
        <w:t>12 mars 2013</w:t>
      </w:r>
      <w:r w:rsidRPr="006E12E7">
        <w:rPr>
          <w:rStyle w:val="sb8d990e2"/>
          <w:lang w:val="fr-FR"/>
        </w:rPr>
        <w:t>).</w:t>
      </w:r>
    </w:p>
    <w:p w:rsidR="00164CEE" w:rsidRPr="00EC24C6" w:rsidRDefault="00164CEE" w:rsidP="00C21462">
      <w:pPr>
        <w:pStyle w:val="ECHRPara"/>
        <w:rPr>
          <w:lang w:val="fr-FR"/>
        </w:rPr>
      </w:pPr>
      <w:r>
        <w:rPr>
          <w:rStyle w:val="sb8d990e2"/>
          <w:lang w:val="fr-FR"/>
        </w:rPr>
        <w:t xml:space="preserve">41.  En revanche, </w:t>
      </w:r>
      <w:r w:rsidRPr="006E12E7">
        <w:rPr>
          <w:rStyle w:val="sb8d990e2"/>
          <w:lang w:val="fr-FR"/>
        </w:rPr>
        <w:t>l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espoir de voir reconnaître la survivance d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un ancien droit de propriété qu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il est depuis bien longtemps impossible d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exercer effectivement ne peut être considéré comme un « bien » au sens de l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article</w:t>
      </w:r>
      <w:r>
        <w:rPr>
          <w:rStyle w:val="sb8d990e2"/>
          <w:lang w:val="fr-FR"/>
        </w:rPr>
        <w:t> </w:t>
      </w:r>
      <w:r w:rsidRPr="006E12E7">
        <w:rPr>
          <w:rStyle w:val="sb8d990e2"/>
          <w:lang w:val="fr-FR"/>
        </w:rPr>
        <w:t>1 du Protocole n</w:t>
      </w:r>
      <w:r w:rsidRPr="00164CEE">
        <w:rPr>
          <w:rStyle w:val="sb8d990e2"/>
          <w:vertAlign w:val="superscript"/>
          <w:lang w:val="fr-FR"/>
        </w:rPr>
        <w:t>o</w:t>
      </w:r>
      <w:r w:rsidRPr="006E12E7">
        <w:rPr>
          <w:rStyle w:val="sb8d990e2"/>
          <w:lang w:val="fr-FR"/>
        </w:rPr>
        <w:t xml:space="preserve"> 1, et il en va de même d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une créance conditionnelle s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éteignant du fait de la non-réalisation de la condition</w:t>
      </w:r>
      <w:r>
        <w:rPr>
          <w:rStyle w:val="sb8d990e2"/>
          <w:lang w:val="fr-FR"/>
        </w:rPr>
        <w:t xml:space="preserve"> </w:t>
      </w:r>
      <w:r w:rsidRPr="007D3850">
        <w:rPr>
          <w:rStyle w:val="sb8d990e2"/>
          <w:lang w:val="fr-FR"/>
        </w:rPr>
        <w:t xml:space="preserve">(voir le rappel des 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principes pertinents dans </w:t>
      </w:r>
      <w:r w:rsidRPr="007D3850">
        <w:rPr>
          <w:rFonts w:ascii="Times New Roman" w:hAnsi="Times New Roman" w:cs="Times New Roman"/>
          <w:i/>
          <w:szCs w:val="24"/>
          <w:lang w:val="fr-FR"/>
        </w:rPr>
        <w:t>Malhous c. République Tchèque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(déc.), n</w:t>
      </w:r>
      <w:r w:rsidRPr="00164CEE">
        <w:rPr>
          <w:rFonts w:ascii="Times New Roman" w:hAnsi="Times New Roman" w:cs="Times New Roman"/>
          <w:szCs w:val="24"/>
          <w:vertAlign w:val="superscript"/>
          <w:lang w:val="fr-FR"/>
        </w:rPr>
        <w:t>o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 33071/96, CEDH 2000-XII ; voir également </w:t>
      </w:r>
      <w:r w:rsidRPr="007D3850">
        <w:rPr>
          <w:rFonts w:ascii="Times New Roman" w:hAnsi="Times New Roman" w:cs="Times New Roman"/>
          <w:i/>
          <w:szCs w:val="24"/>
          <w:lang w:val="fr-FR"/>
        </w:rPr>
        <w:t xml:space="preserve">Prince Hans-Adam II </w:t>
      </w:r>
      <w:r>
        <w:rPr>
          <w:rFonts w:ascii="Times New Roman" w:hAnsi="Times New Roman" w:cs="Times New Roman"/>
          <w:i/>
          <w:szCs w:val="24"/>
          <w:lang w:val="fr-FR"/>
        </w:rPr>
        <w:t>c</w:t>
      </w:r>
      <w:r w:rsidRPr="007D3850">
        <w:rPr>
          <w:rFonts w:ascii="Times New Roman" w:hAnsi="Times New Roman" w:cs="Times New Roman"/>
          <w:i/>
          <w:szCs w:val="24"/>
          <w:lang w:val="fr-FR"/>
        </w:rPr>
        <w:t>.</w:t>
      </w:r>
      <w:r>
        <w:rPr>
          <w:rFonts w:ascii="Times New Roman" w:hAnsi="Times New Roman" w:cs="Times New Roman"/>
          <w:i/>
          <w:szCs w:val="24"/>
          <w:lang w:val="fr-FR"/>
        </w:rPr>
        <w:t> Allemagne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[GC], n</w:t>
      </w:r>
      <w:r w:rsidRPr="00164CEE">
        <w:rPr>
          <w:rFonts w:ascii="Times New Roman" w:hAnsi="Times New Roman" w:cs="Times New Roman"/>
          <w:szCs w:val="24"/>
          <w:vertAlign w:val="superscript"/>
          <w:lang w:val="fr-FR"/>
        </w:rPr>
        <w:t>o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42527/98, § 85, </w:t>
      </w:r>
      <w:r>
        <w:rPr>
          <w:rFonts w:ascii="Times New Roman" w:hAnsi="Times New Roman" w:cs="Times New Roman"/>
          <w:szCs w:val="24"/>
          <w:lang w:val="fr-FR"/>
        </w:rPr>
        <w:t>CEDH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2001-VIII</w:t>
      </w:r>
      <w:r>
        <w:rPr>
          <w:rFonts w:ascii="Times New Roman" w:hAnsi="Times New Roman" w:cs="Times New Roman"/>
          <w:szCs w:val="24"/>
          <w:lang w:val="fr-FR"/>
        </w:rPr>
        <w:t> </w:t>
      </w:r>
      <w:r w:rsidRPr="007D3850">
        <w:rPr>
          <w:rFonts w:ascii="Times New Roman" w:hAnsi="Times New Roman" w:cs="Times New Roman"/>
          <w:szCs w:val="24"/>
          <w:lang w:val="fr-FR"/>
        </w:rPr>
        <w:t>;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7D3850">
        <w:rPr>
          <w:rFonts w:ascii="Times New Roman" w:hAnsi="Times New Roman" w:cs="Times New Roman"/>
          <w:i/>
          <w:szCs w:val="24"/>
          <w:lang w:val="fr-FR"/>
        </w:rPr>
        <w:t xml:space="preserve">Stretch </w:t>
      </w:r>
      <w:r>
        <w:rPr>
          <w:rFonts w:ascii="Times New Roman" w:hAnsi="Times New Roman" w:cs="Times New Roman"/>
          <w:i/>
          <w:szCs w:val="24"/>
          <w:lang w:val="fr-FR"/>
        </w:rPr>
        <w:t>c</w:t>
      </w:r>
      <w:r w:rsidRPr="007D3850">
        <w:rPr>
          <w:rFonts w:ascii="Times New Roman" w:hAnsi="Times New Roman" w:cs="Times New Roman"/>
          <w:i/>
          <w:szCs w:val="24"/>
          <w:lang w:val="fr-FR"/>
        </w:rPr>
        <w:t>.</w:t>
      </w:r>
      <w:r>
        <w:rPr>
          <w:rFonts w:ascii="Times New Roman" w:hAnsi="Times New Roman" w:cs="Times New Roman"/>
          <w:i/>
          <w:szCs w:val="24"/>
          <w:lang w:val="fr-FR"/>
        </w:rPr>
        <w:t> Royaume-Uni</w:t>
      </w:r>
      <w:r w:rsidRPr="007D3850">
        <w:rPr>
          <w:rFonts w:ascii="Times New Roman" w:hAnsi="Times New Roman" w:cs="Times New Roman"/>
          <w:szCs w:val="24"/>
          <w:lang w:val="fr-FR"/>
        </w:rPr>
        <w:t>, n</w:t>
      </w:r>
      <w:r w:rsidRPr="00164CEE">
        <w:rPr>
          <w:rFonts w:ascii="Times New Roman" w:hAnsi="Times New Roman" w:cs="Times New Roman"/>
          <w:szCs w:val="24"/>
          <w:vertAlign w:val="superscript"/>
          <w:lang w:val="fr-FR"/>
        </w:rPr>
        <w:t>o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</w:t>
      </w:r>
      <w:r w:rsidRPr="007D3850">
        <w:rPr>
          <w:rStyle w:val="textcolumn"/>
          <w:lang w:val="fr-FR"/>
        </w:rPr>
        <w:t xml:space="preserve">44277/98, 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§ 32, 24 </w:t>
      </w:r>
      <w:r>
        <w:rPr>
          <w:rFonts w:ascii="Times New Roman" w:hAnsi="Times New Roman" w:cs="Times New Roman"/>
          <w:szCs w:val="24"/>
          <w:lang w:val="fr-FR"/>
        </w:rPr>
        <w:t>juin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2003</w:t>
      </w:r>
      <w:r>
        <w:rPr>
          <w:rFonts w:ascii="Times New Roman" w:hAnsi="Times New Roman" w:cs="Times New Roman"/>
          <w:szCs w:val="24"/>
          <w:lang w:val="fr-FR"/>
        </w:rPr>
        <w:t xml:space="preserve"> ; et </w:t>
      </w:r>
      <w:r w:rsidRPr="007D3850">
        <w:rPr>
          <w:rFonts w:ascii="Times New Roman" w:hAnsi="Times New Roman" w:cs="Times New Roman"/>
          <w:i/>
          <w:szCs w:val="24"/>
          <w:lang w:val="fr-FR"/>
        </w:rPr>
        <w:t xml:space="preserve">Nerva </w:t>
      </w:r>
      <w:r>
        <w:rPr>
          <w:rFonts w:ascii="Times New Roman" w:hAnsi="Times New Roman" w:cs="Times New Roman"/>
          <w:i/>
          <w:szCs w:val="24"/>
          <w:lang w:val="fr-FR"/>
        </w:rPr>
        <w:t>c.</w:t>
      </w:r>
      <w:r w:rsidRPr="007D3850">
        <w:rPr>
          <w:rFonts w:ascii="Times New Roman" w:hAnsi="Times New Roman" w:cs="Times New Roman"/>
          <w:i/>
          <w:szCs w:val="24"/>
          <w:lang w:val="fr-FR"/>
        </w:rPr>
        <w:t> </w:t>
      </w:r>
      <w:r>
        <w:rPr>
          <w:rFonts w:ascii="Times New Roman" w:hAnsi="Times New Roman" w:cs="Times New Roman"/>
          <w:i/>
          <w:szCs w:val="24"/>
          <w:lang w:val="fr-FR"/>
        </w:rPr>
        <w:t>Royaume-Uni</w:t>
      </w:r>
      <w:r w:rsidRPr="007D3850">
        <w:rPr>
          <w:rFonts w:ascii="Times New Roman" w:hAnsi="Times New Roman" w:cs="Times New Roman"/>
          <w:szCs w:val="24"/>
          <w:lang w:val="fr-FR"/>
        </w:rPr>
        <w:t>, n</w:t>
      </w:r>
      <w:r w:rsidRPr="00164CEE">
        <w:rPr>
          <w:rFonts w:ascii="Times New Roman" w:hAnsi="Times New Roman" w:cs="Times New Roman"/>
          <w:szCs w:val="24"/>
          <w:vertAlign w:val="superscript"/>
          <w:lang w:val="fr-FR"/>
        </w:rPr>
        <w:t>o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42295/98, § 43, 24 </w:t>
      </w:r>
      <w:r>
        <w:rPr>
          <w:rFonts w:ascii="Times New Roman" w:hAnsi="Times New Roman" w:cs="Times New Roman"/>
          <w:szCs w:val="24"/>
          <w:lang w:val="fr-FR"/>
        </w:rPr>
        <w:t>septembre</w:t>
      </w:r>
      <w:r w:rsidRPr="007D3850">
        <w:rPr>
          <w:rFonts w:ascii="Times New Roman" w:hAnsi="Times New Roman" w:cs="Times New Roman"/>
          <w:szCs w:val="24"/>
          <w:lang w:val="fr-FR"/>
        </w:rPr>
        <w:t xml:space="preserve"> 2002</w:t>
      </w:r>
      <w:r>
        <w:rPr>
          <w:rFonts w:ascii="Times New Roman" w:hAnsi="Times New Roman" w:cs="Times New Roman"/>
          <w:szCs w:val="24"/>
          <w:lang w:val="fr-FR"/>
        </w:rPr>
        <w:t>).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42.  En l</w:t>
      </w:r>
      <w:r w:rsidR="009C36DE">
        <w:rPr>
          <w:lang w:val="fr-FR"/>
        </w:rPr>
        <w:t>’</w:t>
      </w:r>
      <w:r>
        <w:rPr>
          <w:lang w:val="fr-FR"/>
        </w:rPr>
        <w:t>espèce, le contrat de vente signé par les requérants n</w:t>
      </w:r>
      <w:r w:rsidR="009C36DE">
        <w:rPr>
          <w:lang w:val="fr-FR"/>
        </w:rPr>
        <w:t>’</w:t>
      </w:r>
      <w:r>
        <w:rPr>
          <w:lang w:val="fr-FR"/>
        </w:rPr>
        <w:t>était pas immédiatement productif d</w:t>
      </w:r>
      <w:r w:rsidR="009C36DE">
        <w:rPr>
          <w:lang w:val="fr-FR"/>
        </w:rPr>
        <w:t>’</w:t>
      </w:r>
      <w:r>
        <w:rPr>
          <w:lang w:val="fr-FR"/>
        </w:rPr>
        <w:t>obligations contractuelles pour l</w:t>
      </w:r>
      <w:r w:rsidR="009C36DE">
        <w:rPr>
          <w:lang w:val="fr-FR"/>
        </w:rPr>
        <w:t>’</w:t>
      </w:r>
      <w:r>
        <w:rPr>
          <w:lang w:val="fr-FR"/>
        </w:rPr>
        <w:t>administration des postes. En effet, l</w:t>
      </w:r>
      <w:r w:rsidR="009C36DE">
        <w:rPr>
          <w:lang w:val="fr-FR"/>
        </w:rPr>
        <w:t>’</w:t>
      </w:r>
      <w:r>
        <w:rPr>
          <w:lang w:val="fr-FR"/>
        </w:rPr>
        <w:t>article 19 du décret royal n</w:t>
      </w:r>
      <w:r w:rsidRPr="00164CEE">
        <w:rPr>
          <w:vertAlign w:val="superscript"/>
          <w:lang w:val="fr-FR"/>
        </w:rPr>
        <w:t>o</w:t>
      </w:r>
      <w:r>
        <w:rPr>
          <w:lang w:val="fr-FR"/>
        </w:rPr>
        <w:t xml:space="preserve"> 2440 de 1923 prévoit expressément que les contrats ne lient l</w:t>
      </w:r>
      <w:r w:rsidR="009C36DE">
        <w:rPr>
          <w:lang w:val="fr-FR"/>
        </w:rPr>
        <w:t>’</w:t>
      </w:r>
      <w:r>
        <w:rPr>
          <w:lang w:val="fr-FR"/>
        </w:rPr>
        <w:t>administration que lorsqu</w:t>
      </w:r>
      <w:r w:rsidR="009C36DE">
        <w:rPr>
          <w:lang w:val="fr-FR"/>
        </w:rPr>
        <w:t>’</w:t>
      </w:r>
      <w:r>
        <w:rPr>
          <w:lang w:val="fr-FR"/>
        </w:rPr>
        <w:t>ils ont été approuvés par le ministre ou par l</w:t>
      </w:r>
      <w:r w:rsidR="009C36DE">
        <w:rPr>
          <w:lang w:val="fr-FR"/>
        </w:rPr>
        <w:t>’</w:t>
      </w:r>
      <w:r>
        <w:rPr>
          <w:lang w:val="fr-FR"/>
        </w:rPr>
        <w:t xml:space="preserve">officier public délégué </w:t>
      </w:r>
      <w:r>
        <w:rPr>
          <w:i/>
          <w:lang w:val="fr-FR"/>
        </w:rPr>
        <w:t>ad hoc</w:t>
      </w:r>
      <w:r>
        <w:rPr>
          <w:lang w:val="fr-FR"/>
        </w:rPr>
        <w:t xml:space="preserve"> et ne peuvent être exécutés qu</w:t>
      </w:r>
      <w:r w:rsidR="009C36DE">
        <w:rPr>
          <w:lang w:val="fr-FR"/>
        </w:rPr>
        <w:t>’</w:t>
      </w:r>
      <w:r>
        <w:rPr>
          <w:lang w:val="fr-FR"/>
        </w:rPr>
        <w:t>après leur approbation (paragraphe 29 ci-dessus). Les requérants ne pouvaient pas ignorer cette circonstance, car une clause de l</w:t>
      </w:r>
      <w:r w:rsidR="009C36DE">
        <w:rPr>
          <w:lang w:val="fr-FR"/>
        </w:rPr>
        <w:t>’</w:t>
      </w:r>
      <w:r>
        <w:rPr>
          <w:lang w:val="fr-FR"/>
        </w:rPr>
        <w:t>acte notarié de vente indiquait que le contrat serait devenu « contraignant pour l</w:t>
      </w:r>
      <w:r w:rsidR="009C36DE">
        <w:rPr>
          <w:lang w:val="fr-FR"/>
        </w:rPr>
        <w:t>’</w:t>
      </w:r>
      <w:r>
        <w:rPr>
          <w:lang w:val="fr-FR"/>
        </w:rPr>
        <w:t>administration des postes seulement après avoir été approuvé en conformité avec la loi » (paragraphe 7 ci-dessus).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43.  Aux yeux de la Cour, l</w:t>
      </w:r>
      <w:r w:rsidR="009C36DE">
        <w:rPr>
          <w:lang w:val="fr-FR"/>
        </w:rPr>
        <w:t>’</w:t>
      </w:r>
      <w:r>
        <w:rPr>
          <w:lang w:val="fr-FR"/>
        </w:rPr>
        <w:t>approbation par le ministre ou son délégué était une condition de validité du contrat litigieux. Or, cette condition ne s</w:t>
      </w:r>
      <w:r w:rsidR="009C36DE">
        <w:rPr>
          <w:lang w:val="fr-FR"/>
        </w:rPr>
        <w:t>’</w:t>
      </w:r>
      <w:r>
        <w:rPr>
          <w:lang w:val="fr-FR"/>
        </w:rPr>
        <w:t>est pas réalisée car par un décret du 1</w:t>
      </w:r>
      <w:r w:rsidRPr="00C36A58">
        <w:rPr>
          <w:vertAlign w:val="superscript"/>
          <w:lang w:val="fr-FR"/>
        </w:rPr>
        <w:t>er</w:t>
      </w:r>
      <w:r>
        <w:rPr>
          <w:lang w:val="fr-FR"/>
        </w:rPr>
        <w:t xml:space="preserve"> août 1992, le ministre a décidé de ne pas approuver le contrat (paragraphe 13 ci-dessus). Quant à une éventuelle responsabilité précontractuelle de l</w:t>
      </w:r>
      <w:r w:rsidR="009C36DE">
        <w:rPr>
          <w:lang w:val="fr-FR"/>
        </w:rPr>
        <w:t>’</w:t>
      </w:r>
      <w:r>
        <w:rPr>
          <w:lang w:val="fr-FR"/>
        </w:rPr>
        <w:t>administration, elle dépendait de l</w:t>
      </w:r>
      <w:r w:rsidR="009C36DE">
        <w:rPr>
          <w:lang w:val="fr-FR"/>
        </w:rPr>
        <w:t>’</w:t>
      </w:r>
      <w:r>
        <w:rPr>
          <w:lang w:val="fr-FR"/>
        </w:rPr>
        <w:t>existence d</w:t>
      </w:r>
      <w:r w:rsidR="009C36DE">
        <w:rPr>
          <w:lang w:val="fr-FR"/>
        </w:rPr>
        <w:t>’</w:t>
      </w:r>
      <w:r>
        <w:rPr>
          <w:lang w:val="fr-FR"/>
        </w:rPr>
        <w:t>un comportement fautif et d</w:t>
      </w:r>
      <w:r w:rsidR="009C36DE">
        <w:rPr>
          <w:lang w:val="fr-FR"/>
        </w:rPr>
        <w:t>’</w:t>
      </w:r>
      <w:r>
        <w:rPr>
          <w:lang w:val="fr-FR"/>
        </w:rPr>
        <w:t>un lien de causalité entre ce comportement et le préjudice allégué par les requérants. Or, la cour d</w:t>
      </w:r>
      <w:r w:rsidR="009C36DE">
        <w:rPr>
          <w:lang w:val="fr-FR"/>
        </w:rPr>
        <w:t>’</w:t>
      </w:r>
      <w:r>
        <w:rPr>
          <w:lang w:val="fr-FR"/>
        </w:rPr>
        <w:t>appel (paragraphe 20 ci-dessus) et la Cour de cassation (paragraphe 27 ci-dessus) ont estimé que l</w:t>
      </w:r>
      <w:r w:rsidR="009C36DE">
        <w:rPr>
          <w:lang w:val="fr-FR"/>
        </w:rPr>
        <w:t>’</w:t>
      </w:r>
      <w:r>
        <w:rPr>
          <w:lang w:val="fr-FR"/>
        </w:rPr>
        <w:t>administration avait agi en bonne foi.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44.  Il s</w:t>
      </w:r>
      <w:r w:rsidR="009C36DE">
        <w:rPr>
          <w:lang w:val="fr-FR"/>
        </w:rPr>
        <w:t>’</w:t>
      </w:r>
      <w:r>
        <w:rPr>
          <w:lang w:val="fr-FR"/>
        </w:rPr>
        <w:t xml:space="preserve">ensuit que tout intérêt patrimonial ou créance que les requérants revendiquent en force du contrat de vente non-approuvé </w:t>
      </w:r>
      <w:r>
        <w:rPr>
          <w:rStyle w:val="sb8d990e2"/>
          <w:lang w:val="fr-FR"/>
        </w:rPr>
        <w:t>n</w:t>
      </w:r>
      <w:r w:rsidR="009C36DE">
        <w:rPr>
          <w:rStyle w:val="sb8d990e2"/>
          <w:lang w:val="fr-FR"/>
        </w:rPr>
        <w:t>’</w:t>
      </w:r>
      <w:r w:rsidRPr="0043002C">
        <w:rPr>
          <w:rStyle w:val="sb8d990e2"/>
          <w:lang w:val="fr-FR"/>
        </w:rPr>
        <w:t>a</w:t>
      </w:r>
      <w:r>
        <w:rPr>
          <w:rStyle w:val="sb8d990e2"/>
          <w:lang w:val="fr-FR"/>
        </w:rPr>
        <w:t>vait</w:t>
      </w:r>
      <w:r w:rsidRPr="0043002C">
        <w:rPr>
          <w:rStyle w:val="sb8d990e2"/>
          <w:lang w:val="fr-FR"/>
        </w:rPr>
        <w:t xml:space="preserve"> </w:t>
      </w:r>
      <w:r>
        <w:rPr>
          <w:rStyle w:val="sb8d990e2"/>
          <w:lang w:val="fr-FR"/>
        </w:rPr>
        <w:t xml:space="preserve">pas </w:t>
      </w:r>
      <w:r w:rsidRPr="0043002C">
        <w:rPr>
          <w:rStyle w:val="sb8d990e2"/>
          <w:lang w:val="fr-FR"/>
        </w:rPr>
        <w:t>une base suffisante en droit intern</w:t>
      </w:r>
      <w:r>
        <w:rPr>
          <w:rStyle w:val="sb8d990e2"/>
          <w:lang w:val="fr-FR"/>
        </w:rPr>
        <w:t xml:space="preserve">e pour pouvoir </w:t>
      </w:r>
      <w:r w:rsidRPr="006E12E7">
        <w:rPr>
          <w:rStyle w:val="sb8d990e2"/>
          <w:lang w:val="fr-FR"/>
        </w:rPr>
        <w:t>être considéré comme un «</w:t>
      </w:r>
      <w:r>
        <w:rPr>
          <w:rStyle w:val="sb8d990e2"/>
          <w:lang w:val="fr-FR"/>
        </w:rPr>
        <w:t> </w:t>
      </w:r>
      <w:r w:rsidRPr="006E12E7">
        <w:rPr>
          <w:rStyle w:val="sb8d990e2"/>
          <w:lang w:val="fr-FR"/>
        </w:rPr>
        <w:t>bien » au sens de l</w:t>
      </w:r>
      <w:r w:rsidR="009C36DE">
        <w:rPr>
          <w:rStyle w:val="sb8d990e2"/>
          <w:lang w:val="fr-FR"/>
        </w:rPr>
        <w:t>’</w:t>
      </w:r>
      <w:r w:rsidRPr="006E12E7">
        <w:rPr>
          <w:rStyle w:val="sb8d990e2"/>
          <w:lang w:val="fr-FR"/>
        </w:rPr>
        <w:t>article</w:t>
      </w:r>
      <w:r>
        <w:rPr>
          <w:rStyle w:val="sb8d990e2"/>
          <w:lang w:val="fr-FR"/>
        </w:rPr>
        <w:t> </w:t>
      </w:r>
      <w:r w:rsidRPr="006E12E7">
        <w:rPr>
          <w:rStyle w:val="sb8d990e2"/>
          <w:lang w:val="fr-FR"/>
        </w:rPr>
        <w:t>1 du Protocole n</w:t>
      </w:r>
      <w:r w:rsidRPr="00164CEE">
        <w:rPr>
          <w:rStyle w:val="sb8d990e2"/>
          <w:vertAlign w:val="superscript"/>
          <w:lang w:val="fr-FR"/>
        </w:rPr>
        <w:t>o</w:t>
      </w:r>
      <w:r w:rsidRPr="006E12E7">
        <w:rPr>
          <w:rStyle w:val="sb8d990e2"/>
          <w:lang w:val="fr-FR"/>
        </w:rPr>
        <w:t xml:space="preserve"> 1</w:t>
      </w:r>
      <w:r>
        <w:rPr>
          <w:rStyle w:val="sb8d990e2"/>
          <w:lang w:val="fr-FR"/>
        </w:rPr>
        <w:t>. Cette disposition ne trouve donc pas à s</w:t>
      </w:r>
      <w:r w:rsidR="009C36DE">
        <w:rPr>
          <w:rStyle w:val="sb8d990e2"/>
          <w:lang w:val="fr-FR"/>
        </w:rPr>
        <w:t>’</w:t>
      </w:r>
      <w:r>
        <w:rPr>
          <w:rStyle w:val="sb8d990e2"/>
          <w:lang w:val="fr-FR"/>
        </w:rPr>
        <w:t>appliquer en l</w:t>
      </w:r>
      <w:r w:rsidR="009C36DE">
        <w:rPr>
          <w:rStyle w:val="sb8d990e2"/>
          <w:lang w:val="fr-FR"/>
        </w:rPr>
        <w:t>’</w:t>
      </w:r>
      <w:r>
        <w:rPr>
          <w:rStyle w:val="sb8d990e2"/>
          <w:lang w:val="fr-FR"/>
        </w:rPr>
        <w:t>espèce.</w:t>
      </w:r>
    </w:p>
    <w:p w:rsidR="00164CEE" w:rsidRDefault="00164CEE" w:rsidP="00C21462">
      <w:pPr>
        <w:pStyle w:val="ECHRPara"/>
        <w:rPr>
          <w:lang w:val="fr-FR"/>
        </w:rPr>
      </w:pPr>
      <w:r>
        <w:rPr>
          <w:lang w:val="fr-FR"/>
        </w:rPr>
        <w:t>45.  </w:t>
      </w:r>
      <w:r w:rsidRPr="00EC24C6">
        <w:rPr>
          <w:lang w:val="fr-FR"/>
        </w:rPr>
        <w:t>Il s</w:t>
      </w:r>
      <w:r w:rsidR="009C36DE">
        <w:rPr>
          <w:lang w:val="fr-FR"/>
        </w:rPr>
        <w:t>’</w:t>
      </w:r>
      <w:r w:rsidRPr="00EC24C6">
        <w:rPr>
          <w:lang w:val="fr-FR"/>
        </w:rPr>
        <w:t xml:space="preserve">ensuit que </w:t>
      </w:r>
      <w:r>
        <w:rPr>
          <w:lang w:val="fr-FR"/>
        </w:rPr>
        <w:t>la requête</w:t>
      </w:r>
      <w:r w:rsidRPr="00EC24C6">
        <w:rPr>
          <w:lang w:val="fr-FR"/>
        </w:rPr>
        <w:t xml:space="preserve"> est incompatible </w:t>
      </w:r>
      <w:r w:rsidRPr="00EC24C6">
        <w:rPr>
          <w:i/>
          <w:lang w:val="fr-FR"/>
        </w:rPr>
        <w:t>ratione materiae</w:t>
      </w:r>
      <w:r w:rsidRPr="00EC24C6">
        <w:rPr>
          <w:lang w:val="fr-FR"/>
        </w:rPr>
        <w:t xml:space="preserve"> avec les dispositions de la Convention au sens de l</w:t>
      </w:r>
      <w:r w:rsidR="009C36DE">
        <w:rPr>
          <w:lang w:val="fr-FR"/>
        </w:rPr>
        <w:t>’</w:t>
      </w:r>
      <w:r w:rsidRPr="00EC24C6">
        <w:rPr>
          <w:lang w:val="fr-FR"/>
        </w:rPr>
        <w:t>article 35 § 3 a) et doit être rejeté</w:t>
      </w:r>
      <w:r>
        <w:rPr>
          <w:lang w:val="fr-FR"/>
        </w:rPr>
        <w:t>e</w:t>
      </w:r>
      <w:r w:rsidRPr="00EC24C6">
        <w:rPr>
          <w:lang w:val="fr-FR"/>
        </w:rPr>
        <w:t xml:space="preserve"> en application de l</w:t>
      </w:r>
      <w:r w:rsidR="009C36DE">
        <w:rPr>
          <w:lang w:val="fr-FR"/>
        </w:rPr>
        <w:t>’</w:t>
      </w:r>
      <w:r w:rsidRPr="00EC24C6">
        <w:rPr>
          <w:lang w:val="fr-FR"/>
        </w:rPr>
        <w:t>article 35 § 4.</w:t>
      </w:r>
    </w:p>
    <w:p w:rsidR="00164CEE" w:rsidRPr="0072720E" w:rsidRDefault="00164CEE" w:rsidP="00931FE0">
      <w:pPr>
        <w:pStyle w:val="JuParaLast"/>
        <w:rPr>
          <w:lang w:val="fr-FR"/>
        </w:rPr>
      </w:pPr>
      <w:r w:rsidRPr="0072720E">
        <w:rPr>
          <w:lang w:val="fr-FR"/>
        </w:rPr>
        <w:t>Par ces motifs, la Cour, à l</w:t>
      </w:r>
      <w:r w:rsidR="009C36DE">
        <w:rPr>
          <w:lang w:val="fr-FR"/>
        </w:rPr>
        <w:t>’</w:t>
      </w:r>
      <w:r w:rsidRPr="0072720E">
        <w:rPr>
          <w:lang w:val="fr-FR"/>
        </w:rPr>
        <w:t>unanimité,</w:t>
      </w:r>
    </w:p>
    <w:p w:rsidR="00164CEE" w:rsidRPr="0072720E" w:rsidRDefault="00164CEE" w:rsidP="00C21462">
      <w:pPr>
        <w:pStyle w:val="DecList"/>
        <w:rPr>
          <w:lang w:val="fr-FR"/>
        </w:rPr>
      </w:pPr>
      <w:r w:rsidRPr="0072720E">
        <w:rPr>
          <w:i/>
          <w:lang w:val="fr-FR"/>
        </w:rPr>
        <w:t xml:space="preserve">Déclare </w:t>
      </w:r>
      <w:r w:rsidRPr="0072720E">
        <w:rPr>
          <w:lang w:val="fr-FR"/>
        </w:rPr>
        <w:t>la requête irrecevable.</w:t>
      </w:r>
    </w:p>
    <w:p w:rsidR="00CE6ED9" w:rsidRPr="00164CEE" w:rsidRDefault="00164CEE" w:rsidP="00B87FB1">
      <w:pPr>
        <w:pStyle w:val="JuSigned"/>
        <w:rPr>
          <w:lang w:val="fr-FR"/>
        </w:rPr>
      </w:pPr>
      <w:r w:rsidRPr="00164CEE">
        <w:rPr>
          <w:lang w:val="fr-FR"/>
        </w:rPr>
        <w:tab/>
      </w:r>
      <w:r w:rsidR="003B31AE">
        <w:rPr>
          <w:lang w:val="fr-FR"/>
        </w:rPr>
        <w:t>Abel Campos</w:t>
      </w:r>
      <w:r w:rsidR="006544C4" w:rsidRPr="00164CEE">
        <w:rPr>
          <w:lang w:val="fr-FR"/>
        </w:rPr>
        <w:tab/>
      </w:r>
      <w:r w:rsidRPr="00164CEE">
        <w:rPr>
          <w:lang w:val="fr-FR"/>
        </w:rPr>
        <w:t>Işıl Karakaş</w:t>
      </w:r>
      <w:r w:rsidR="006544C4" w:rsidRPr="00164CEE">
        <w:rPr>
          <w:lang w:val="fr-FR"/>
        </w:rPr>
        <w:br/>
      </w:r>
      <w:r w:rsidR="006544C4" w:rsidRPr="00164CEE">
        <w:rPr>
          <w:lang w:val="fr-FR"/>
        </w:rPr>
        <w:tab/>
      </w:r>
      <w:r w:rsidRPr="00164CEE">
        <w:rPr>
          <w:lang w:val="fr-FR"/>
        </w:rPr>
        <w:t>Greffier</w:t>
      </w:r>
      <w:r w:rsidR="003B31AE">
        <w:rPr>
          <w:lang w:val="fr-FR"/>
        </w:rPr>
        <w:t xml:space="preserve"> adjoint</w:t>
      </w:r>
      <w:r w:rsidR="006544C4" w:rsidRPr="00164CEE">
        <w:rPr>
          <w:lang w:val="fr-FR"/>
        </w:rPr>
        <w:tab/>
      </w:r>
      <w:r w:rsidRPr="00164CEE">
        <w:rPr>
          <w:lang w:val="fr-FR"/>
        </w:rPr>
        <w:t>Présidente</w:t>
      </w:r>
    </w:p>
    <w:p w:rsidR="00164CEE" w:rsidRPr="005B365A" w:rsidRDefault="00164CEE" w:rsidP="00234E8A">
      <w:pPr>
        <w:rPr>
          <w:lang w:val="fr-FR"/>
        </w:rPr>
      </w:pPr>
      <w:r w:rsidRPr="005B365A">
        <w:rPr>
          <w:lang w:val="fr-FR"/>
        </w:rPr>
        <w:br w:type="page"/>
      </w:r>
    </w:p>
    <w:p w:rsidR="00164CEE" w:rsidRPr="005B365A" w:rsidRDefault="00164CEE" w:rsidP="00234E8A">
      <w:pPr>
        <w:pStyle w:val="JuTitle"/>
        <w:rPr>
          <w:lang w:val="fr-FR"/>
        </w:rPr>
      </w:pPr>
    </w:p>
    <w:p w:rsidR="004D15F3" w:rsidRDefault="00164CEE" w:rsidP="00234E8A">
      <w:pPr>
        <w:pStyle w:val="JuTitle"/>
        <w:rPr>
          <w:lang w:val="fr-FR"/>
        </w:rPr>
      </w:pPr>
      <w:r w:rsidRPr="005B365A">
        <w:rPr>
          <w:lang w:val="fr-FR"/>
        </w:rPr>
        <w:t>ANNEXE</w:t>
      </w:r>
    </w:p>
    <w:p w:rsidR="00164CEE" w:rsidRPr="001C0561" w:rsidRDefault="00164CEE" w:rsidP="00164CEE">
      <w:pPr>
        <w:pStyle w:val="ListParagraph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fr-FR"/>
        </w:rPr>
      </w:pPr>
      <w:r>
        <w:rPr>
          <w:lang w:val="fr-FR"/>
        </w:rPr>
        <w:t>Paolo ROMANAZZI est un ressortissant italien né en 1933 et résidant à ROME</w:t>
      </w:r>
    </w:p>
    <w:p w:rsidR="00164CEE" w:rsidRPr="001C0561" w:rsidRDefault="00164CEE" w:rsidP="00164CEE">
      <w:pPr>
        <w:pStyle w:val="ListParagraph"/>
        <w:numPr>
          <w:ilvl w:val="0"/>
          <w:numId w:val="23"/>
        </w:numPr>
        <w:tabs>
          <w:tab w:val="left" w:pos="425"/>
        </w:tabs>
        <w:ind w:left="0" w:firstLine="0"/>
        <w:rPr>
          <w:b/>
          <w:lang w:val="fr-FR"/>
        </w:rPr>
      </w:pPr>
      <w:r>
        <w:rPr>
          <w:lang w:val="fr-FR"/>
        </w:rPr>
        <w:t>Andrea ROMANAZZI est un ressortissant italien né en 1969 et résidant à ROME</w:t>
      </w:r>
    </w:p>
    <w:p w:rsidR="00164CEE" w:rsidRPr="0010107F" w:rsidRDefault="00164CEE" w:rsidP="00164CEE">
      <w:pPr>
        <w:pStyle w:val="ListParagraph"/>
        <w:numPr>
          <w:ilvl w:val="0"/>
          <w:numId w:val="23"/>
        </w:numPr>
        <w:tabs>
          <w:tab w:val="left" w:pos="425"/>
        </w:tabs>
        <w:ind w:left="0" w:firstLine="0"/>
        <w:rPr>
          <w:szCs w:val="24"/>
          <w:lang w:val="fr-FR"/>
        </w:rPr>
      </w:pPr>
      <w:r w:rsidRPr="0010107F">
        <w:rPr>
          <w:lang w:val="fr-FR"/>
        </w:rPr>
        <w:t>Nicoletta ROMANAZZI est une ressortissante italienne née en 1967 et résidant à CAPALBIO (Grosseto)</w:t>
      </w:r>
    </w:p>
    <w:p w:rsidR="00164CEE" w:rsidRPr="0010107F" w:rsidRDefault="00164CEE" w:rsidP="00164CEE">
      <w:pPr>
        <w:pStyle w:val="ListParagraph"/>
        <w:numPr>
          <w:ilvl w:val="0"/>
          <w:numId w:val="23"/>
        </w:numPr>
        <w:tabs>
          <w:tab w:val="left" w:pos="425"/>
        </w:tabs>
        <w:ind w:left="0" w:firstLine="0"/>
        <w:rPr>
          <w:szCs w:val="24"/>
          <w:lang w:val="fr-FR"/>
        </w:rPr>
      </w:pPr>
      <w:r w:rsidRPr="0010107F">
        <w:rPr>
          <w:lang w:val="fr-FR"/>
        </w:rPr>
        <w:t>LEMPIRA 1 SRL est une société à responsabilité limitée italienne ayant son siège à ROME</w:t>
      </w:r>
    </w:p>
    <w:p w:rsidR="00234E8A" w:rsidRPr="00234E8A" w:rsidRDefault="00234E8A" w:rsidP="00234E8A">
      <w:pPr>
        <w:rPr>
          <w:lang w:val="fr-FR"/>
        </w:rPr>
      </w:pPr>
    </w:p>
    <w:sectPr w:rsidR="00234E8A" w:rsidRPr="00234E8A" w:rsidSect="00AF7102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EE" w:rsidRDefault="00164CEE" w:rsidP="006544C4">
      <w:r>
        <w:separator/>
      </w:r>
    </w:p>
  </w:endnote>
  <w:endnote w:type="continuationSeparator" w:id="0">
    <w:p w:rsidR="00164CEE" w:rsidRDefault="00164CEE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E" w:rsidRPr="00150BFA" w:rsidRDefault="00164CEE" w:rsidP="0020718E">
    <w:pPr>
      <w:jc w:val="center"/>
    </w:pPr>
    <w:r>
      <w:rPr>
        <w:noProof/>
        <w:lang w:eastAsia="ja-JP"/>
      </w:rPr>
      <w:drawing>
        <wp:inline distT="0" distB="0" distL="0" distR="0" wp14:anchorId="7F85BF6A" wp14:editId="490D469C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90495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EE" w:rsidRDefault="00164CEE" w:rsidP="006544C4">
      <w:r>
        <w:separator/>
      </w:r>
    </w:p>
  </w:footnote>
  <w:footnote w:type="continuationSeparator" w:id="0">
    <w:p w:rsidR="00164CEE" w:rsidRDefault="00164CEE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164CEE" w:rsidRDefault="00164CEE" w:rsidP="003312A3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164CEE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90495D">
      <w:rPr>
        <w:rStyle w:val="PageNumber"/>
        <w:noProof/>
        <w:lang w:val="fr-FR"/>
      </w:rPr>
      <w:t>4</w:t>
    </w:r>
    <w:r>
      <w:rPr>
        <w:rStyle w:val="PageNumber"/>
        <w:lang w:val="en-GB"/>
      </w:rPr>
      <w:fldChar w:fldCharType="end"/>
    </w:r>
    <w:r w:rsidR="00334EC5" w:rsidRPr="00164CEE">
      <w:rPr>
        <w:lang w:val="fr-FR"/>
      </w:rPr>
      <w:tab/>
      <w:t xml:space="preserve">DÉCISION </w:t>
    </w:r>
    <w:r w:rsidRPr="00164CEE">
      <w:rPr>
        <w:lang w:val="fr-FR"/>
      </w:rPr>
      <w:t xml:space="preserve">ROMANAZZI ET </w:t>
    </w:r>
    <w:r w:rsidR="00423A49">
      <w:rPr>
        <w:lang w:val="fr-FR"/>
      </w:rPr>
      <w:t>AUTRES</w:t>
    </w:r>
    <w:r w:rsidRPr="00164CEE">
      <w:rPr>
        <w:lang w:val="fr-FR"/>
      </w:rPr>
      <w:t xml:space="preserve">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164CEE" w:rsidRDefault="00334EC5" w:rsidP="006544C4">
    <w:pPr>
      <w:pStyle w:val="ECHRHeader"/>
      <w:rPr>
        <w:lang w:val="fr-FR"/>
      </w:rPr>
    </w:pPr>
    <w:r>
      <w:tab/>
    </w:r>
    <w:r w:rsidRPr="00164CEE">
      <w:rPr>
        <w:lang w:val="fr-FR"/>
      </w:rPr>
      <w:t xml:space="preserve">DÉCISION </w:t>
    </w:r>
    <w:r w:rsidR="00164CEE" w:rsidRPr="00164CEE">
      <w:rPr>
        <w:lang w:val="fr-FR"/>
      </w:rPr>
      <w:t xml:space="preserve">ROMANAZZI ET </w:t>
    </w:r>
    <w:r w:rsidR="00423A49">
      <w:rPr>
        <w:lang w:val="fr-FR"/>
      </w:rPr>
      <w:t>AUTRES</w:t>
    </w:r>
    <w:r w:rsidR="00164CEE" w:rsidRPr="00164CEE">
      <w:rPr>
        <w:lang w:val="fr-FR"/>
      </w:rPr>
      <w:t xml:space="preserve"> c. ITALIE</w:t>
    </w:r>
    <w:r w:rsidRPr="00164CEE">
      <w:rPr>
        <w:lang w:val="fr-FR"/>
      </w:rPr>
      <w:tab/>
    </w:r>
    <w:r w:rsidR="00164CEE">
      <w:rPr>
        <w:rStyle w:val="PageNumber"/>
        <w:lang w:val="en-GB"/>
      </w:rPr>
      <w:fldChar w:fldCharType="begin"/>
    </w:r>
    <w:r w:rsidR="00164CEE" w:rsidRPr="00164CEE">
      <w:rPr>
        <w:rStyle w:val="PageNumber"/>
        <w:lang w:val="fr-FR"/>
      </w:rPr>
      <w:instrText xml:space="preserve"> PAGE </w:instrText>
    </w:r>
    <w:r w:rsidR="00164CEE">
      <w:rPr>
        <w:rStyle w:val="PageNumber"/>
        <w:lang w:val="en-GB"/>
      </w:rPr>
      <w:fldChar w:fldCharType="separate"/>
    </w:r>
    <w:r w:rsidR="0090495D">
      <w:rPr>
        <w:rStyle w:val="PageNumber"/>
        <w:noProof/>
        <w:lang w:val="fr-FR"/>
      </w:rPr>
      <w:t>4</w:t>
    </w:r>
    <w:r w:rsidR="00164CEE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E" w:rsidRPr="00A45145" w:rsidRDefault="00164CEE" w:rsidP="00A45145">
    <w:pPr>
      <w:jc w:val="center"/>
    </w:pPr>
    <w:r>
      <w:rPr>
        <w:noProof/>
        <w:lang w:eastAsia="ja-JP"/>
      </w:rPr>
      <w:drawing>
        <wp:inline distT="0" distB="0" distL="0" distR="0" wp14:anchorId="27684FD5" wp14:editId="67CB5B98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90495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5491AB0"/>
    <w:multiLevelType w:val="hybridMultilevel"/>
    <w:tmpl w:val="7128ABBE"/>
    <w:lvl w:ilvl="0" w:tplc="0E1EF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164CE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CEE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364F"/>
    <w:rsid w:val="00396686"/>
    <w:rsid w:val="0039778E"/>
    <w:rsid w:val="003B31A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3A49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C69BE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495D"/>
    <w:rsid w:val="0090506B"/>
    <w:rsid w:val="009050C9"/>
    <w:rsid w:val="009066FC"/>
    <w:rsid w:val="009140A3"/>
    <w:rsid w:val="009144A2"/>
    <w:rsid w:val="0091510C"/>
    <w:rsid w:val="009259AC"/>
    <w:rsid w:val="00926F38"/>
    <w:rsid w:val="00931FE0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7611B"/>
    <w:rsid w:val="0098228B"/>
    <w:rsid w:val="009828DA"/>
    <w:rsid w:val="00985BAB"/>
    <w:rsid w:val="009B1B5F"/>
    <w:rsid w:val="009B6673"/>
    <w:rsid w:val="009C191B"/>
    <w:rsid w:val="009C2BD6"/>
    <w:rsid w:val="009C36DE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164CEE"/>
  </w:style>
  <w:style w:type="character" w:customStyle="1" w:styleId="s6b621b36">
    <w:name w:val="s6b621b36"/>
    <w:basedOn w:val="DefaultParagraphFont"/>
    <w:rsid w:val="00164CEE"/>
  </w:style>
  <w:style w:type="character" w:customStyle="1" w:styleId="textcolumn">
    <w:name w:val="textcolumn"/>
    <w:basedOn w:val="DefaultParagraphFont"/>
    <w:rsid w:val="0016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164CEE"/>
  </w:style>
  <w:style w:type="character" w:customStyle="1" w:styleId="s6b621b36">
    <w:name w:val="s6b621b36"/>
    <w:basedOn w:val="DefaultParagraphFont"/>
    <w:rsid w:val="00164CEE"/>
  </w:style>
  <w:style w:type="character" w:customStyle="1" w:styleId="textcolumn">
    <w:name w:val="textcolumn"/>
    <w:basedOn w:val="DefaultParagraphFont"/>
    <w:rsid w:val="0016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DFF30-0F05-45AC-B39F-A2095FA01016}"/>
</file>

<file path=customXml/itemProps2.xml><?xml version="1.0" encoding="utf-8"?>
<ds:datastoreItem xmlns:ds="http://schemas.openxmlformats.org/officeDocument/2006/customXml" ds:itemID="{28B1735C-EA94-476D-88B1-817CD2E55859}"/>
</file>

<file path=customXml/itemProps3.xml><?xml version="1.0" encoding="utf-8"?>
<ds:datastoreItem xmlns:ds="http://schemas.openxmlformats.org/officeDocument/2006/customXml" ds:itemID="{1EEC3699-5904-4067-91A0-80616CE910E6}"/>
</file>

<file path=customXml/itemProps4.xml><?xml version="1.0" encoding="utf-8"?>
<ds:datastoreItem xmlns:ds="http://schemas.openxmlformats.org/officeDocument/2006/customXml" ds:itemID="{6B16D03A-1B8A-4860-967C-AFCB57748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2014-11-27T14:44:00Z</dcterms:created>
  <dcterms:modified xsi:type="dcterms:W3CDTF">2014-11-27T14:44:00Z</dcterms:modified>
  <cp:category>ECHR Template</cp:category>
</cp:coreProperties>
</file>